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D2" w:rsidRDefault="00C052D2" w:rsidP="00C052D2">
      <w:pPr>
        <w:spacing w:line="276" w:lineRule="auto"/>
        <w:jc w:val="right"/>
        <w:rPr>
          <w:rFonts w:eastAsiaTheme="minorHAnsi"/>
          <w:b/>
          <w:bCs/>
          <w:lang w:eastAsia="en-US"/>
        </w:rPr>
      </w:pPr>
      <w:r>
        <w:rPr>
          <w:rFonts w:ascii="Verdana" w:hAnsi="Verdana"/>
          <w:noProof/>
          <w:color w:val="000000"/>
          <w:sz w:val="18"/>
          <w:szCs w:val="18"/>
        </w:rPr>
        <w:drawing>
          <wp:inline distT="0" distB="0" distL="0" distR="0" wp14:anchorId="3D2C40C7" wp14:editId="65BDE6F6">
            <wp:extent cx="2712720" cy="807720"/>
            <wp:effectExtent l="0" t="0" r="0" b="0"/>
            <wp:docPr id="4" name="Picture 4" descr="Brighton and Sussex Universities Trust">
              <a:hlinkClick xmlns:a="http://schemas.openxmlformats.org/drawingml/2006/main" r:id="rId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on and Sussex Universities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720" cy="807720"/>
                    </a:xfrm>
                    <a:prstGeom prst="rect">
                      <a:avLst/>
                    </a:prstGeom>
                    <a:noFill/>
                    <a:ln>
                      <a:noFill/>
                    </a:ln>
                  </pic:spPr>
                </pic:pic>
              </a:graphicData>
            </a:graphic>
          </wp:inline>
        </w:drawing>
      </w:r>
    </w:p>
    <w:p w:rsidR="00C052D2" w:rsidRPr="00507666" w:rsidRDefault="00C052D2" w:rsidP="00C052D2">
      <w:pPr>
        <w:spacing w:line="276" w:lineRule="auto"/>
        <w:jc w:val="center"/>
        <w:rPr>
          <w:rFonts w:eastAsiaTheme="minorHAnsi"/>
          <w:b/>
          <w:bCs/>
          <w:lang w:eastAsia="en-US"/>
        </w:rPr>
      </w:pPr>
      <w:r w:rsidRPr="00507666">
        <w:rPr>
          <w:rFonts w:eastAsiaTheme="minorHAnsi"/>
          <w:b/>
          <w:bCs/>
          <w:lang w:eastAsia="en-US"/>
        </w:rPr>
        <w:t>Annual declaration for director posts</w:t>
      </w:r>
    </w:p>
    <w:p w:rsidR="00C052D2" w:rsidRPr="00ED0831" w:rsidRDefault="00C052D2" w:rsidP="00C052D2">
      <w:pPr>
        <w:spacing w:line="276" w:lineRule="auto"/>
        <w:jc w:val="right"/>
        <w:rPr>
          <w:rFonts w:eastAsiaTheme="minorHAnsi"/>
          <w:bCs/>
          <w:color w:val="0072C6"/>
          <w:sz w:val="28"/>
          <w:szCs w:val="28"/>
          <w:lang w:eastAsia="en-US"/>
        </w:rPr>
      </w:pPr>
    </w:p>
    <w:p w:rsidR="00C052D2" w:rsidRPr="00EB5F97" w:rsidRDefault="00C052D2" w:rsidP="00C052D2">
      <w:pPr>
        <w:spacing w:line="276" w:lineRule="auto"/>
        <w:jc w:val="center"/>
        <w:rPr>
          <w:rFonts w:eastAsiaTheme="minorHAnsi"/>
          <w:b/>
          <w:sz w:val="20"/>
          <w:szCs w:val="22"/>
          <w:lang w:eastAsia="en-US"/>
        </w:rPr>
      </w:pPr>
      <w:r w:rsidRPr="00507666">
        <w:rPr>
          <w:rFonts w:eastAsiaTheme="minorHAnsi"/>
          <w:b/>
          <w:sz w:val="20"/>
          <w:szCs w:val="22"/>
          <w:lang w:eastAsia="en-US"/>
        </w:rPr>
        <w:t>Brighton &amp; Sussex University Hospitals</w:t>
      </w:r>
      <w:r>
        <w:rPr>
          <w:rFonts w:eastAsiaTheme="minorHAnsi"/>
          <w:b/>
          <w:sz w:val="20"/>
          <w:szCs w:val="22"/>
          <w:lang w:eastAsia="en-US"/>
        </w:rPr>
        <w:t xml:space="preserve"> NHS Trust</w:t>
      </w:r>
      <w:r w:rsidRPr="00EB5F97">
        <w:rPr>
          <w:rFonts w:eastAsiaTheme="minorHAnsi"/>
          <w:b/>
          <w:sz w:val="20"/>
          <w:szCs w:val="22"/>
          <w:lang w:eastAsia="en-US"/>
        </w:rPr>
        <w:t xml:space="preserve"> (“the Trust”)</w:t>
      </w:r>
    </w:p>
    <w:p w:rsidR="00C052D2" w:rsidRPr="00EB5F97" w:rsidRDefault="00C052D2" w:rsidP="00C052D2">
      <w:pPr>
        <w:spacing w:line="276" w:lineRule="auto"/>
        <w:jc w:val="center"/>
        <w:rPr>
          <w:rFonts w:eastAsiaTheme="minorHAnsi"/>
          <w:sz w:val="20"/>
          <w:szCs w:val="22"/>
          <w:lang w:eastAsia="en-US"/>
        </w:rPr>
      </w:pPr>
    </w:p>
    <w:p w:rsidR="00C052D2" w:rsidRPr="00EB5F97" w:rsidRDefault="00C052D2" w:rsidP="00C052D2">
      <w:pPr>
        <w:spacing w:line="276" w:lineRule="auto"/>
        <w:jc w:val="center"/>
        <w:rPr>
          <w:rFonts w:eastAsiaTheme="minorHAnsi"/>
          <w:b/>
          <w:caps/>
          <w:sz w:val="20"/>
          <w:szCs w:val="22"/>
          <w:lang w:eastAsia="en-US"/>
        </w:rPr>
      </w:pPr>
      <w:r w:rsidRPr="00EB5F97">
        <w:rPr>
          <w:rFonts w:eastAsiaTheme="minorHAnsi"/>
          <w:b/>
          <w:caps/>
          <w:sz w:val="20"/>
          <w:szCs w:val="22"/>
          <w:lang w:eastAsia="en-US"/>
        </w:rPr>
        <w:t>“Fit and Proper Person” declaration</w:t>
      </w:r>
    </w:p>
    <w:p w:rsidR="00C052D2" w:rsidRPr="00EB5F97" w:rsidRDefault="00C052D2" w:rsidP="00C052D2">
      <w:pPr>
        <w:spacing w:line="276" w:lineRule="auto"/>
        <w:rPr>
          <w:rFonts w:eastAsiaTheme="minorHAnsi"/>
          <w:b/>
          <w:caps/>
          <w:sz w:val="20"/>
          <w:szCs w:val="22"/>
          <w:lang w:eastAsia="en-US"/>
        </w:rPr>
      </w:pPr>
    </w:p>
    <w:p w:rsidR="00C052D2" w:rsidRPr="00EB5F97" w:rsidRDefault="00C052D2" w:rsidP="00C052D2">
      <w:pPr>
        <w:spacing w:line="276" w:lineRule="auto"/>
        <w:ind w:left="720" w:hanging="720"/>
        <w:jc w:val="both"/>
        <w:rPr>
          <w:rFonts w:eastAsiaTheme="minorHAnsi"/>
          <w:sz w:val="20"/>
          <w:szCs w:val="22"/>
          <w:lang w:eastAsia="en-US"/>
        </w:rPr>
      </w:pPr>
      <w:r w:rsidRPr="00EB5F97">
        <w:rPr>
          <w:rFonts w:eastAsiaTheme="minorHAnsi"/>
          <w:caps/>
          <w:sz w:val="20"/>
          <w:szCs w:val="22"/>
          <w:lang w:eastAsia="en-US"/>
        </w:rPr>
        <w:t>1.</w:t>
      </w:r>
      <w:r w:rsidRPr="00EB5F97">
        <w:rPr>
          <w:rFonts w:eastAsiaTheme="minorHAnsi"/>
          <w:caps/>
          <w:sz w:val="20"/>
          <w:szCs w:val="22"/>
          <w:lang w:eastAsia="en-US"/>
        </w:rPr>
        <w:tab/>
      </w:r>
      <w:r>
        <w:rPr>
          <w:rFonts w:eastAsiaTheme="minorHAnsi"/>
          <w:sz w:val="20"/>
          <w:szCs w:val="22"/>
          <w:lang w:eastAsia="en-US"/>
        </w:rPr>
        <w:t xml:space="preserve">The Trust </w:t>
      </w:r>
      <w:r w:rsidRPr="00EB5F97">
        <w:rPr>
          <w:rFonts w:eastAsiaTheme="minorHAnsi"/>
          <w:sz w:val="20"/>
          <w:szCs w:val="22"/>
          <w:lang w:eastAsia="en-US"/>
        </w:rPr>
        <w:t>is</w:t>
      </w:r>
      <w:r>
        <w:rPr>
          <w:rFonts w:eastAsiaTheme="minorHAnsi"/>
          <w:sz w:val="20"/>
          <w:szCs w:val="22"/>
          <w:lang w:eastAsia="en-US"/>
        </w:rPr>
        <w:t xml:space="preserve"> required to ensure, in accordance with the</w:t>
      </w:r>
      <w:r w:rsidRPr="00EB5F97">
        <w:rPr>
          <w:rFonts w:eastAsiaTheme="minorHAnsi"/>
          <w:sz w:val="20"/>
          <w:szCs w:val="22"/>
          <w:lang w:eastAsia="en-US"/>
        </w:rPr>
        <w:t xml:space="preserve"> </w:t>
      </w:r>
      <w:r w:rsidRPr="00CA202C">
        <w:rPr>
          <w:rFonts w:eastAsiaTheme="minorHAnsi"/>
          <w:sz w:val="20"/>
          <w:szCs w:val="22"/>
          <w:lang w:eastAsia="en-US"/>
        </w:rPr>
        <w:t>Health and Social Care Act 2008 (Regulated Activities) Regulations 2014</w:t>
      </w:r>
      <w:r>
        <w:rPr>
          <w:rFonts w:eastAsiaTheme="minorHAnsi"/>
          <w:sz w:val="20"/>
          <w:szCs w:val="22"/>
          <w:lang w:eastAsia="en-US"/>
        </w:rPr>
        <w:t>,</w:t>
      </w:r>
      <w:r w:rsidRPr="00CA202C">
        <w:rPr>
          <w:rFonts w:eastAsiaTheme="minorHAnsi"/>
          <w:sz w:val="20"/>
          <w:szCs w:val="22"/>
          <w:lang w:eastAsia="en-US"/>
        </w:rPr>
        <w:t xml:space="preserve"> </w:t>
      </w:r>
      <w:r w:rsidRPr="00EB5F97">
        <w:rPr>
          <w:rFonts w:eastAsiaTheme="minorHAnsi"/>
          <w:sz w:val="20"/>
          <w:szCs w:val="22"/>
          <w:lang w:eastAsia="en-US"/>
        </w:rPr>
        <w:t>that those holding director posts</w:t>
      </w:r>
      <w:r w:rsidRPr="00CA202C">
        <w:t xml:space="preserve"> </w:t>
      </w:r>
      <w:r>
        <w:t>(</w:t>
      </w:r>
      <w:r w:rsidRPr="00CA202C">
        <w:rPr>
          <w:rFonts w:eastAsiaTheme="minorHAnsi"/>
          <w:sz w:val="20"/>
          <w:szCs w:val="22"/>
          <w:lang w:eastAsia="en-US"/>
        </w:rPr>
        <w:t>executive and non-executive, permanent, interim and associate</w:t>
      </w:r>
      <w:r>
        <w:rPr>
          <w:rFonts w:eastAsiaTheme="minorHAnsi"/>
          <w:sz w:val="20"/>
          <w:szCs w:val="22"/>
          <w:lang w:eastAsia="en-US"/>
        </w:rPr>
        <w:t>)</w:t>
      </w:r>
      <w:r w:rsidRPr="00EB5F97">
        <w:rPr>
          <w:rFonts w:eastAsiaTheme="minorHAnsi"/>
          <w:sz w:val="20"/>
          <w:szCs w:val="22"/>
          <w:lang w:eastAsia="en-US"/>
        </w:rPr>
        <w:t xml:space="preserve"> </w:t>
      </w:r>
      <w:r w:rsidRPr="00CA202C">
        <w:rPr>
          <w:rFonts w:eastAsiaTheme="minorHAnsi"/>
          <w:sz w:val="20"/>
          <w:szCs w:val="22"/>
          <w:lang w:eastAsia="en-US"/>
        </w:rPr>
        <w:t>are fit and proper to carry out this role</w:t>
      </w:r>
      <w:r>
        <w:rPr>
          <w:rFonts w:eastAsiaTheme="minorHAnsi"/>
          <w:sz w:val="20"/>
          <w:szCs w:val="22"/>
          <w:lang w:eastAsia="en-US"/>
        </w:rPr>
        <w:t>.</w:t>
      </w:r>
    </w:p>
    <w:p w:rsidR="00C052D2" w:rsidRPr="00EB5F97" w:rsidRDefault="00C052D2" w:rsidP="00C052D2">
      <w:pPr>
        <w:spacing w:line="276" w:lineRule="auto"/>
        <w:ind w:left="720" w:hanging="720"/>
        <w:jc w:val="both"/>
        <w:rPr>
          <w:rFonts w:eastAsiaTheme="minorHAnsi"/>
          <w:sz w:val="20"/>
          <w:szCs w:val="22"/>
          <w:lang w:eastAsia="en-US"/>
        </w:rPr>
      </w:pPr>
    </w:p>
    <w:p w:rsidR="00C052D2" w:rsidRPr="00EB5F97" w:rsidRDefault="00C052D2" w:rsidP="00C052D2">
      <w:pPr>
        <w:spacing w:line="276" w:lineRule="auto"/>
        <w:ind w:left="720" w:hanging="720"/>
        <w:jc w:val="both"/>
        <w:rPr>
          <w:rFonts w:eastAsiaTheme="minorHAnsi"/>
          <w:sz w:val="20"/>
          <w:szCs w:val="22"/>
          <w:lang w:eastAsia="en-US"/>
        </w:rPr>
      </w:pPr>
      <w:r w:rsidRPr="00EB5F97">
        <w:rPr>
          <w:rFonts w:eastAsiaTheme="minorHAnsi"/>
          <w:sz w:val="20"/>
          <w:szCs w:val="22"/>
          <w:lang w:eastAsia="en-US"/>
        </w:rPr>
        <w:t>2.</w:t>
      </w:r>
      <w:r w:rsidRPr="00EB5F97">
        <w:rPr>
          <w:rFonts w:eastAsiaTheme="minorHAnsi"/>
          <w:sz w:val="20"/>
          <w:szCs w:val="22"/>
          <w:lang w:eastAsia="en-US"/>
        </w:rPr>
        <w:tab/>
        <w:t>By signing the declaration below, you are confirming that you do not fall within the definition of an “unfit person” or any other criteria set out below, and that you are not aware of any pending proceedings or matters which may call such a declaration into question.</w:t>
      </w:r>
    </w:p>
    <w:p w:rsidR="00C052D2" w:rsidRDefault="00C052D2" w:rsidP="00C052D2">
      <w:pPr>
        <w:spacing w:line="276" w:lineRule="auto"/>
        <w:jc w:val="both"/>
        <w:rPr>
          <w:rFonts w:eastAsiaTheme="minorHAnsi"/>
          <w:b/>
          <w:sz w:val="20"/>
          <w:szCs w:val="22"/>
          <w:lang w:eastAsia="en-US"/>
        </w:rPr>
      </w:pPr>
    </w:p>
    <w:p w:rsidR="00C052D2" w:rsidRPr="00EB5F97" w:rsidRDefault="00C052D2" w:rsidP="00C052D2">
      <w:pPr>
        <w:spacing w:line="276" w:lineRule="auto"/>
        <w:jc w:val="both"/>
        <w:rPr>
          <w:rFonts w:eastAsiaTheme="minorHAnsi"/>
          <w:b/>
          <w:sz w:val="20"/>
          <w:szCs w:val="22"/>
          <w:lang w:eastAsia="en-US"/>
        </w:rPr>
      </w:pPr>
      <w:r w:rsidRPr="00EB5F97">
        <w:rPr>
          <w:rFonts w:eastAsiaTheme="minorHAnsi"/>
          <w:b/>
          <w:sz w:val="20"/>
          <w:szCs w:val="22"/>
          <w:lang w:eastAsia="en-US"/>
        </w:rPr>
        <w:t>Regulated Activities Regulations</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spacing w:line="276" w:lineRule="auto"/>
        <w:ind w:left="720" w:hanging="720"/>
        <w:jc w:val="both"/>
        <w:rPr>
          <w:rFonts w:eastAsiaTheme="minorHAnsi"/>
          <w:sz w:val="20"/>
          <w:szCs w:val="22"/>
          <w:lang w:eastAsia="en-US"/>
        </w:rPr>
      </w:pPr>
      <w:r>
        <w:rPr>
          <w:rFonts w:eastAsiaTheme="minorHAnsi"/>
          <w:sz w:val="20"/>
          <w:szCs w:val="22"/>
          <w:lang w:eastAsia="en-US"/>
        </w:rPr>
        <w:t>3</w:t>
      </w:r>
      <w:r w:rsidRPr="00EB5F97">
        <w:rPr>
          <w:rFonts w:eastAsiaTheme="minorHAnsi"/>
          <w:sz w:val="20"/>
          <w:szCs w:val="22"/>
          <w:lang w:eastAsia="en-US"/>
        </w:rPr>
        <w:t>.</w:t>
      </w:r>
      <w:r w:rsidRPr="00EB5F97">
        <w:rPr>
          <w:rFonts w:eastAsiaTheme="minorHAnsi"/>
          <w:sz w:val="20"/>
          <w:szCs w:val="22"/>
          <w:lang w:eastAsia="en-US"/>
        </w:rPr>
        <w:tab/>
        <w:t>Regulation 5 of the Regulated Activities Regulations states that the Trust must not appoint or have in place an individual as a director, or performing the functions of or equivalent or similar to the functions of, such a director, if they do not satisfy all the requirements set out in paragraph 3 of that Regulation.</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spacing w:line="276" w:lineRule="auto"/>
        <w:jc w:val="both"/>
        <w:rPr>
          <w:rFonts w:eastAsiaTheme="minorHAnsi"/>
          <w:sz w:val="20"/>
          <w:szCs w:val="22"/>
          <w:lang w:eastAsia="en-US"/>
        </w:rPr>
      </w:pPr>
      <w:r>
        <w:rPr>
          <w:rFonts w:eastAsiaTheme="minorHAnsi"/>
          <w:sz w:val="20"/>
          <w:szCs w:val="22"/>
          <w:lang w:eastAsia="en-US"/>
        </w:rPr>
        <w:t>4</w:t>
      </w:r>
      <w:r w:rsidRPr="00EB5F97">
        <w:rPr>
          <w:rFonts w:eastAsiaTheme="minorHAnsi"/>
          <w:sz w:val="20"/>
          <w:szCs w:val="22"/>
          <w:lang w:eastAsia="en-US"/>
        </w:rPr>
        <w:t>.</w:t>
      </w:r>
      <w:r w:rsidRPr="00EB5F97">
        <w:rPr>
          <w:rFonts w:eastAsiaTheme="minorHAnsi"/>
          <w:sz w:val="20"/>
          <w:szCs w:val="22"/>
          <w:lang w:eastAsia="en-US"/>
        </w:rPr>
        <w:tab/>
        <w:t>The requirements of paragraph 3 of Regulation 5 of the Regulated Activities Regulations are that:</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spacing w:after="120" w:line="276" w:lineRule="auto"/>
        <w:jc w:val="both"/>
        <w:rPr>
          <w:rFonts w:eastAsiaTheme="minorHAnsi"/>
          <w:sz w:val="20"/>
          <w:szCs w:val="22"/>
          <w:lang w:eastAsia="en-US"/>
        </w:rPr>
      </w:pPr>
      <w:r w:rsidRPr="00EB5F97">
        <w:rPr>
          <w:rFonts w:eastAsiaTheme="minorHAnsi"/>
          <w:sz w:val="20"/>
          <w:szCs w:val="22"/>
          <w:lang w:eastAsia="en-US"/>
        </w:rPr>
        <w:tab/>
        <w:t>(a)</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individual is of good character;</w:t>
      </w:r>
    </w:p>
    <w:p w:rsidR="00C052D2" w:rsidRPr="00EB5F97" w:rsidRDefault="00C052D2" w:rsidP="00C052D2">
      <w:pPr>
        <w:spacing w:after="120" w:line="276" w:lineRule="auto"/>
        <w:ind w:left="1440" w:hanging="720"/>
        <w:jc w:val="both"/>
        <w:rPr>
          <w:rFonts w:eastAsiaTheme="minorHAnsi"/>
          <w:sz w:val="20"/>
          <w:szCs w:val="22"/>
          <w:lang w:eastAsia="en-US"/>
        </w:rPr>
      </w:pPr>
      <w:r w:rsidRPr="00EB5F97">
        <w:rPr>
          <w:rFonts w:eastAsiaTheme="minorHAnsi"/>
          <w:sz w:val="20"/>
          <w:szCs w:val="22"/>
          <w:lang w:eastAsia="en-US"/>
        </w:rPr>
        <w:t>(b)</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individual has the qualifications, competence, skills and experience which are necessary for the relevant office or position or the work for which they are employed;</w:t>
      </w:r>
    </w:p>
    <w:p w:rsidR="00C052D2" w:rsidRPr="00EB5F97" w:rsidRDefault="00C052D2" w:rsidP="00C052D2">
      <w:pPr>
        <w:spacing w:after="120" w:line="276" w:lineRule="auto"/>
        <w:ind w:left="1440" w:hanging="720"/>
        <w:jc w:val="both"/>
        <w:rPr>
          <w:rFonts w:eastAsiaTheme="minorHAnsi"/>
          <w:sz w:val="20"/>
          <w:szCs w:val="22"/>
          <w:lang w:eastAsia="en-US"/>
        </w:rPr>
      </w:pPr>
      <w:r w:rsidRPr="00EB5F97">
        <w:rPr>
          <w:rFonts w:eastAsiaTheme="minorHAnsi"/>
          <w:sz w:val="20"/>
          <w:szCs w:val="22"/>
          <w:lang w:eastAsia="en-US"/>
        </w:rPr>
        <w:t>(c)</w:t>
      </w:r>
      <w:r w:rsidRPr="00EB5F97">
        <w:rPr>
          <w:rFonts w:eastAsiaTheme="minorHAnsi"/>
          <w:sz w:val="20"/>
          <w:szCs w:val="22"/>
          <w:lang w:eastAsia="en-US"/>
        </w:rPr>
        <w:tab/>
        <w:t>the individual is able by reason of their health, after reasonable adjustments are made, of properly performing tasks which are intrinsic to the office or position for which they are appointed or to the work for which they are employed;</w:t>
      </w:r>
    </w:p>
    <w:p w:rsidR="00C052D2" w:rsidRPr="00EB5F97" w:rsidRDefault="00C052D2" w:rsidP="00C052D2">
      <w:pPr>
        <w:spacing w:after="120" w:line="276" w:lineRule="auto"/>
        <w:ind w:left="1440" w:hanging="720"/>
        <w:jc w:val="both"/>
        <w:rPr>
          <w:rFonts w:eastAsiaTheme="minorHAnsi"/>
          <w:sz w:val="20"/>
          <w:szCs w:val="22"/>
          <w:lang w:eastAsia="en-US"/>
        </w:rPr>
      </w:pPr>
      <w:r w:rsidRPr="00EB5F97">
        <w:rPr>
          <w:rFonts w:eastAsiaTheme="minorHAnsi"/>
          <w:sz w:val="20"/>
          <w:szCs w:val="22"/>
          <w:lang w:eastAsia="en-US"/>
        </w:rPr>
        <w:t>(d)</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individual has not been responsible for, privy to, contributed to or facilitated any serious misconduct or mismanagement (whether unlawful or not) in the course of carrying on a regulated activity or providing a service elsewhere which, if provided in England, would be a regulated activity; and</w:t>
      </w:r>
    </w:p>
    <w:p w:rsidR="00C052D2" w:rsidRPr="00EB5F97" w:rsidRDefault="00C052D2" w:rsidP="00C052D2">
      <w:pPr>
        <w:spacing w:line="276" w:lineRule="auto"/>
        <w:jc w:val="both"/>
        <w:rPr>
          <w:rFonts w:eastAsiaTheme="minorHAnsi"/>
          <w:sz w:val="20"/>
          <w:szCs w:val="22"/>
          <w:lang w:eastAsia="en-US"/>
        </w:rPr>
      </w:pPr>
      <w:r w:rsidRPr="00EB5F97">
        <w:rPr>
          <w:rFonts w:eastAsiaTheme="minorHAnsi"/>
          <w:sz w:val="20"/>
          <w:szCs w:val="22"/>
          <w:lang w:eastAsia="en-US"/>
        </w:rPr>
        <w:tab/>
        <w:t>(e)</w:t>
      </w:r>
      <w:r w:rsidRPr="00EB5F97">
        <w:rPr>
          <w:rFonts w:eastAsiaTheme="minorHAnsi"/>
          <w:sz w:val="20"/>
          <w:szCs w:val="22"/>
          <w:lang w:eastAsia="en-US"/>
        </w:rPr>
        <w:tab/>
      </w:r>
      <w:proofErr w:type="gramStart"/>
      <w:r w:rsidRPr="00EB5F97">
        <w:rPr>
          <w:rFonts w:eastAsiaTheme="minorHAnsi"/>
          <w:sz w:val="20"/>
          <w:szCs w:val="22"/>
          <w:lang w:eastAsia="en-US"/>
        </w:rPr>
        <w:t>none</w:t>
      </w:r>
      <w:proofErr w:type="gramEnd"/>
      <w:r w:rsidRPr="00EB5F97">
        <w:rPr>
          <w:rFonts w:eastAsiaTheme="minorHAnsi"/>
          <w:sz w:val="20"/>
          <w:szCs w:val="22"/>
          <w:lang w:eastAsia="en-US"/>
        </w:rPr>
        <w:t xml:space="preserve"> of the grounds of unfitness specified in Part 1 of Schedule 4 apply to the individual.</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spacing w:line="276" w:lineRule="auto"/>
        <w:jc w:val="both"/>
        <w:rPr>
          <w:rFonts w:eastAsiaTheme="minorHAnsi"/>
          <w:sz w:val="20"/>
          <w:szCs w:val="22"/>
          <w:lang w:eastAsia="en-US"/>
        </w:rPr>
      </w:pPr>
      <w:r>
        <w:rPr>
          <w:rFonts w:eastAsiaTheme="minorHAnsi"/>
          <w:sz w:val="20"/>
          <w:szCs w:val="22"/>
          <w:lang w:eastAsia="en-US"/>
        </w:rPr>
        <w:t>5</w:t>
      </w:r>
      <w:r w:rsidRPr="00EB5F97">
        <w:rPr>
          <w:rFonts w:eastAsiaTheme="minorHAnsi"/>
          <w:sz w:val="20"/>
          <w:szCs w:val="22"/>
          <w:lang w:eastAsia="en-US"/>
        </w:rPr>
        <w:t>.</w:t>
      </w:r>
      <w:r w:rsidRPr="00EB5F97">
        <w:rPr>
          <w:rFonts w:eastAsiaTheme="minorHAnsi"/>
          <w:sz w:val="20"/>
          <w:szCs w:val="22"/>
          <w:lang w:eastAsia="en-US"/>
        </w:rPr>
        <w:tab/>
        <w:t>The grounds of unfitness specified in Part 1 of Schedule 4 to the Regulated Activities Regulations are:</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spacing w:after="120" w:line="276" w:lineRule="auto"/>
        <w:ind w:left="1440" w:hanging="720"/>
        <w:jc w:val="both"/>
        <w:rPr>
          <w:rFonts w:eastAsiaTheme="minorHAnsi"/>
          <w:sz w:val="20"/>
          <w:szCs w:val="22"/>
          <w:lang w:eastAsia="en-US"/>
        </w:rPr>
      </w:pPr>
      <w:r>
        <w:rPr>
          <w:rFonts w:eastAsiaTheme="minorHAnsi"/>
          <w:sz w:val="20"/>
          <w:szCs w:val="22"/>
          <w:lang w:eastAsia="en-US"/>
        </w:rPr>
        <w:t>(1</w:t>
      </w:r>
      <w:r w:rsidRPr="00EB5F97">
        <w:rPr>
          <w:rFonts w:eastAsiaTheme="minorHAnsi"/>
          <w:sz w:val="20"/>
          <w:szCs w:val="22"/>
          <w:lang w:eastAsia="en-US"/>
        </w:rPr>
        <w:t>)</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person is an undischarged bankrupt or a person whose estate has had sequestration awarded in respect of it and who has not been discharged;</w:t>
      </w:r>
    </w:p>
    <w:p w:rsidR="00C052D2" w:rsidRPr="00EB5F97" w:rsidRDefault="00C052D2" w:rsidP="00C052D2">
      <w:pPr>
        <w:spacing w:after="120" w:line="276" w:lineRule="auto"/>
        <w:ind w:left="1440" w:hanging="720"/>
        <w:jc w:val="both"/>
        <w:rPr>
          <w:rFonts w:eastAsiaTheme="minorHAnsi"/>
          <w:sz w:val="20"/>
          <w:szCs w:val="22"/>
          <w:lang w:eastAsia="en-US"/>
        </w:rPr>
      </w:pPr>
      <w:r>
        <w:rPr>
          <w:rFonts w:eastAsiaTheme="minorHAnsi"/>
          <w:sz w:val="20"/>
          <w:szCs w:val="22"/>
          <w:lang w:eastAsia="en-US"/>
        </w:rPr>
        <w:t>(2</w:t>
      </w:r>
      <w:r w:rsidRPr="00EB5F97">
        <w:rPr>
          <w:rFonts w:eastAsiaTheme="minorHAnsi"/>
          <w:sz w:val="20"/>
          <w:szCs w:val="22"/>
          <w:lang w:eastAsia="en-US"/>
        </w:rPr>
        <w:t>)</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person is the subject of a bankruptcy restrictions order or an interim bankruptcy restrictions order or an order to like effect made in Scotland or Northern Ireland;</w:t>
      </w:r>
    </w:p>
    <w:p w:rsidR="00C052D2" w:rsidRPr="00EB5F97" w:rsidRDefault="00C052D2" w:rsidP="00C052D2">
      <w:pPr>
        <w:spacing w:after="120" w:line="276" w:lineRule="auto"/>
        <w:ind w:left="1440" w:hanging="720"/>
        <w:jc w:val="both"/>
        <w:rPr>
          <w:rFonts w:eastAsiaTheme="minorHAnsi"/>
          <w:sz w:val="20"/>
          <w:szCs w:val="22"/>
          <w:lang w:eastAsia="en-US"/>
        </w:rPr>
      </w:pPr>
      <w:r>
        <w:rPr>
          <w:rFonts w:eastAsiaTheme="minorHAnsi"/>
          <w:sz w:val="20"/>
          <w:szCs w:val="22"/>
          <w:lang w:eastAsia="en-US"/>
        </w:rPr>
        <w:t>(3</w:t>
      </w:r>
      <w:r w:rsidRPr="00EB5F97">
        <w:rPr>
          <w:rFonts w:eastAsiaTheme="minorHAnsi"/>
          <w:sz w:val="20"/>
          <w:szCs w:val="22"/>
          <w:lang w:eastAsia="en-US"/>
        </w:rPr>
        <w:t>)</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person is a person to whom a moratorium period under a debt relief order applies under Part VIIA (debt relief orders) of the Insolvency Act 1986;</w:t>
      </w:r>
    </w:p>
    <w:p w:rsidR="00C052D2" w:rsidRPr="00EB5F97" w:rsidRDefault="00C052D2" w:rsidP="00C052D2">
      <w:pPr>
        <w:spacing w:after="120" w:line="276" w:lineRule="auto"/>
        <w:ind w:left="1440" w:hanging="720"/>
        <w:jc w:val="both"/>
        <w:rPr>
          <w:rFonts w:eastAsiaTheme="minorHAnsi"/>
          <w:sz w:val="20"/>
          <w:szCs w:val="22"/>
          <w:lang w:eastAsia="en-US"/>
        </w:rPr>
      </w:pPr>
      <w:r>
        <w:rPr>
          <w:rFonts w:eastAsiaTheme="minorHAnsi"/>
          <w:sz w:val="20"/>
          <w:szCs w:val="22"/>
          <w:lang w:eastAsia="en-US"/>
        </w:rPr>
        <w:t>(4</w:t>
      </w:r>
      <w:r w:rsidRPr="00EB5F97">
        <w:rPr>
          <w:rFonts w:eastAsiaTheme="minorHAnsi"/>
          <w:sz w:val="20"/>
          <w:szCs w:val="22"/>
          <w:lang w:eastAsia="en-US"/>
        </w:rPr>
        <w:t>)</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person has made a composition or arrangement with, or granted a trust deed for, creditors and not been discharged in respect of it;</w:t>
      </w:r>
    </w:p>
    <w:p w:rsidR="00C052D2" w:rsidRPr="00EB5F97" w:rsidRDefault="00C052D2" w:rsidP="00C052D2">
      <w:pPr>
        <w:spacing w:after="120" w:line="276" w:lineRule="auto"/>
        <w:ind w:left="1440" w:hanging="720"/>
        <w:jc w:val="both"/>
        <w:rPr>
          <w:rFonts w:eastAsiaTheme="minorHAnsi"/>
          <w:sz w:val="20"/>
          <w:szCs w:val="22"/>
          <w:lang w:eastAsia="en-US"/>
        </w:rPr>
      </w:pPr>
      <w:r>
        <w:rPr>
          <w:rFonts w:eastAsiaTheme="minorHAnsi"/>
          <w:sz w:val="20"/>
          <w:szCs w:val="22"/>
          <w:lang w:eastAsia="en-US"/>
        </w:rPr>
        <w:lastRenderedPageBreak/>
        <w:t>(5</w:t>
      </w:r>
      <w:r w:rsidRPr="00EB5F97">
        <w:rPr>
          <w:rFonts w:eastAsiaTheme="minorHAnsi"/>
          <w:sz w:val="20"/>
          <w:szCs w:val="22"/>
          <w:lang w:eastAsia="en-US"/>
        </w:rPr>
        <w:t>)</w:t>
      </w:r>
      <w:r w:rsidRPr="00EB5F97">
        <w:rPr>
          <w:rFonts w:eastAsiaTheme="minorHAnsi"/>
          <w:sz w:val="20"/>
          <w:szCs w:val="22"/>
          <w:lang w:eastAsia="en-US"/>
        </w:rPr>
        <w:tab/>
        <w:t>the person is included in the children’s barred list or the adults’ barred list maintained under section 2 of the Safeguarding Vulnerable Groups Act 2006, or in any corresponding list maintained under an equivalent enactment in force in Scotland or Northern Ireland;</w:t>
      </w:r>
    </w:p>
    <w:p w:rsidR="00C052D2" w:rsidRDefault="00C052D2" w:rsidP="00C052D2">
      <w:pPr>
        <w:spacing w:line="276" w:lineRule="auto"/>
        <w:ind w:left="1440" w:hanging="720"/>
        <w:jc w:val="both"/>
      </w:pPr>
      <w:r>
        <w:rPr>
          <w:rFonts w:eastAsiaTheme="minorHAnsi"/>
          <w:sz w:val="20"/>
          <w:szCs w:val="22"/>
          <w:lang w:eastAsia="en-US"/>
        </w:rPr>
        <w:t>(6</w:t>
      </w:r>
      <w:r w:rsidRPr="00EB5F97">
        <w:rPr>
          <w:rFonts w:eastAsiaTheme="minorHAnsi"/>
          <w:sz w:val="20"/>
          <w:szCs w:val="22"/>
          <w:lang w:eastAsia="en-US"/>
        </w:rPr>
        <w:t>)</w:t>
      </w:r>
      <w:r w:rsidRPr="00EB5F97">
        <w:rPr>
          <w:rFonts w:eastAsiaTheme="minorHAnsi"/>
          <w:sz w:val="20"/>
          <w:szCs w:val="22"/>
          <w:lang w:eastAsia="en-US"/>
        </w:rPr>
        <w:tab/>
      </w:r>
      <w:proofErr w:type="gramStart"/>
      <w:r w:rsidRPr="00EB5F97">
        <w:rPr>
          <w:rFonts w:eastAsiaTheme="minorHAnsi"/>
          <w:sz w:val="20"/>
          <w:szCs w:val="22"/>
          <w:lang w:eastAsia="en-US"/>
        </w:rPr>
        <w:t>the</w:t>
      </w:r>
      <w:proofErr w:type="gramEnd"/>
      <w:r w:rsidRPr="00EB5F97">
        <w:rPr>
          <w:rFonts w:eastAsiaTheme="minorHAnsi"/>
          <w:sz w:val="20"/>
          <w:szCs w:val="22"/>
          <w:lang w:eastAsia="en-US"/>
        </w:rPr>
        <w:t xml:space="preserve"> person is prohibited from holding the relevant office or position, or in the case of an individual for carrying on the regulated activity, by or under any enactment.</w:t>
      </w:r>
      <w:r w:rsidRPr="00735725">
        <w:t xml:space="preserve"> </w:t>
      </w:r>
    </w:p>
    <w:p w:rsidR="00C052D2" w:rsidRDefault="00C052D2" w:rsidP="00C052D2">
      <w:pPr>
        <w:spacing w:line="276" w:lineRule="auto"/>
        <w:jc w:val="both"/>
      </w:pPr>
    </w:p>
    <w:p w:rsidR="00C052D2" w:rsidRPr="00735725" w:rsidRDefault="00C052D2" w:rsidP="00C052D2">
      <w:pPr>
        <w:spacing w:line="276" w:lineRule="auto"/>
        <w:ind w:left="720" w:hanging="720"/>
        <w:jc w:val="both"/>
        <w:rPr>
          <w:rFonts w:eastAsiaTheme="minorHAnsi"/>
          <w:sz w:val="20"/>
          <w:szCs w:val="22"/>
          <w:lang w:eastAsia="en-US"/>
        </w:rPr>
      </w:pPr>
      <w:r>
        <w:rPr>
          <w:rFonts w:eastAsiaTheme="minorHAnsi"/>
          <w:sz w:val="20"/>
          <w:szCs w:val="22"/>
          <w:lang w:eastAsia="en-US"/>
        </w:rPr>
        <w:t>6.</w:t>
      </w:r>
      <w:r>
        <w:rPr>
          <w:rFonts w:eastAsiaTheme="minorHAnsi"/>
          <w:sz w:val="20"/>
          <w:szCs w:val="22"/>
          <w:lang w:eastAsia="en-US"/>
        </w:rPr>
        <w:tab/>
        <w:t>The grounds of good character specified in Part 2</w:t>
      </w:r>
      <w:r w:rsidRPr="00735725">
        <w:rPr>
          <w:rFonts w:eastAsiaTheme="minorHAnsi"/>
          <w:sz w:val="20"/>
          <w:szCs w:val="22"/>
          <w:lang w:eastAsia="en-US"/>
        </w:rPr>
        <w:t xml:space="preserve"> of Schedule 4 to the Regulated Activities </w:t>
      </w:r>
      <w:r>
        <w:rPr>
          <w:rFonts w:eastAsiaTheme="minorHAnsi"/>
          <w:sz w:val="20"/>
          <w:szCs w:val="22"/>
          <w:lang w:eastAsia="en-US"/>
        </w:rPr>
        <w:t>Regulations are:</w:t>
      </w:r>
    </w:p>
    <w:p w:rsidR="00C052D2" w:rsidRDefault="00C052D2" w:rsidP="00C052D2">
      <w:pPr>
        <w:spacing w:line="276" w:lineRule="auto"/>
        <w:ind w:left="1440" w:hanging="720"/>
        <w:jc w:val="both"/>
        <w:rPr>
          <w:rFonts w:eastAsiaTheme="minorHAnsi"/>
          <w:sz w:val="20"/>
          <w:szCs w:val="22"/>
          <w:lang w:eastAsia="en-US"/>
        </w:rPr>
      </w:pPr>
    </w:p>
    <w:p w:rsidR="00C052D2" w:rsidRDefault="00C052D2" w:rsidP="00C052D2">
      <w:pPr>
        <w:spacing w:line="276" w:lineRule="auto"/>
        <w:ind w:left="1440" w:hanging="720"/>
        <w:jc w:val="both"/>
        <w:rPr>
          <w:rFonts w:eastAsiaTheme="minorHAnsi"/>
          <w:sz w:val="20"/>
          <w:szCs w:val="22"/>
          <w:lang w:eastAsia="en-US"/>
        </w:rPr>
      </w:pPr>
      <w:r>
        <w:rPr>
          <w:rFonts w:eastAsiaTheme="minorHAnsi"/>
          <w:sz w:val="20"/>
          <w:szCs w:val="22"/>
          <w:lang w:eastAsia="en-US"/>
        </w:rPr>
        <w:t>(7)</w:t>
      </w:r>
      <w:r>
        <w:rPr>
          <w:rFonts w:eastAsiaTheme="minorHAnsi"/>
          <w:sz w:val="20"/>
          <w:szCs w:val="22"/>
          <w:lang w:eastAsia="en-US"/>
        </w:rPr>
        <w:tab/>
      </w:r>
      <w:proofErr w:type="gramStart"/>
      <w:r>
        <w:rPr>
          <w:rFonts w:eastAsiaTheme="minorHAnsi"/>
          <w:sz w:val="20"/>
          <w:szCs w:val="22"/>
          <w:lang w:eastAsia="en-US"/>
        </w:rPr>
        <w:t>w</w:t>
      </w:r>
      <w:r w:rsidRPr="00735725">
        <w:rPr>
          <w:rFonts w:eastAsiaTheme="minorHAnsi"/>
          <w:sz w:val="20"/>
          <w:szCs w:val="22"/>
          <w:lang w:eastAsia="en-US"/>
        </w:rPr>
        <w:t>hether</w:t>
      </w:r>
      <w:proofErr w:type="gramEnd"/>
      <w:r w:rsidRPr="00735725">
        <w:rPr>
          <w:rFonts w:eastAsiaTheme="minorHAnsi"/>
          <w:sz w:val="20"/>
          <w:szCs w:val="22"/>
          <w:lang w:eastAsia="en-US"/>
        </w:rPr>
        <w:t xml:space="preserve"> the person has been convicted in the United Kingdom of any offence or been convicted elsewhere of any offence which, if committed in any part of the United Kingdom, would constitute an offence.</w:t>
      </w:r>
    </w:p>
    <w:p w:rsidR="00C052D2" w:rsidRPr="00735725" w:rsidRDefault="00C052D2" w:rsidP="00C052D2">
      <w:pPr>
        <w:spacing w:line="276" w:lineRule="auto"/>
        <w:ind w:left="1440" w:hanging="720"/>
        <w:jc w:val="both"/>
        <w:rPr>
          <w:rFonts w:eastAsiaTheme="minorHAnsi"/>
          <w:sz w:val="20"/>
          <w:szCs w:val="22"/>
          <w:lang w:eastAsia="en-US"/>
        </w:rPr>
      </w:pPr>
    </w:p>
    <w:p w:rsidR="00C052D2" w:rsidRPr="00EB5F97" w:rsidRDefault="00C052D2" w:rsidP="00C052D2">
      <w:pPr>
        <w:spacing w:line="276" w:lineRule="auto"/>
        <w:ind w:left="1440" w:hanging="720"/>
        <w:jc w:val="both"/>
        <w:rPr>
          <w:rFonts w:eastAsiaTheme="minorHAnsi"/>
          <w:sz w:val="20"/>
          <w:szCs w:val="22"/>
          <w:lang w:eastAsia="en-US"/>
        </w:rPr>
      </w:pPr>
      <w:r>
        <w:rPr>
          <w:rFonts w:eastAsiaTheme="minorHAnsi"/>
          <w:sz w:val="20"/>
          <w:szCs w:val="22"/>
          <w:lang w:eastAsia="en-US"/>
        </w:rPr>
        <w:t>(</w:t>
      </w:r>
      <w:r w:rsidRPr="00735725">
        <w:rPr>
          <w:rFonts w:eastAsiaTheme="minorHAnsi"/>
          <w:sz w:val="20"/>
          <w:szCs w:val="22"/>
          <w:lang w:eastAsia="en-US"/>
        </w:rPr>
        <w:t>8</w:t>
      </w:r>
      <w:r>
        <w:rPr>
          <w:rFonts w:eastAsiaTheme="minorHAnsi"/>
          <w:sz w:val="20"/>
          <w:szCs w:val="22"/>
          <w:lang w:eastAsia="en-US"/>
        </w:rPr>
        <w:t>)</w:t>
      </w:r>
      <w:r>
        <w:rPr>
          <w:rFonts w:eastAsiaTheme="minorHAnsi"/>
          <w:sz w:val="20"/>
          <w:szCs w:val="22"/>
          <w:lang w:eastAsia="en-US"/>
        </w:rPr>
        <w:tab/>
      </w:r>
      <w:proofErr w:type="gramStart"/>
      <w:r>
        <w:rPr>
          <w:rFonts w:eastAsiaTheme="minorHAnsi"/>
          <w:sz w:val="20"/>
          <w:szCs w:val="22"/>
          <w:lang w:eastAsia="en-US"/>
        </w:rPr>
        <w:t>w</w:t>
      </w:r>
      <w:r w:rsidRPr="00735725">
        <w:rPr>
          <w:rFonts w:eastAsiaTheme="minorHAnsi"/>
          <w:sz w:val="20"/>
          <w:szCs w:val="22"/>
          <w:lang w:eastAsia="en-US"/>
        </w:rPr>
        <w:t>hether</w:t>
      </w:r>
      <w:proofErr w:type="gramEnd"/>
      <w:r w:rsidRPr="00735725">
        <w:rPr>
          <w:rFonts w:eastAsiaTheme="minorHAnsi"/>
          <w:sz w:val="20"/>
          <w:szCs w:val="22"/>
          <w:lang w:eastAsia="en-US"/>
        </w:rPr>
        <w:t xml:space="preserve"> the person has been erased, removed or struck-off a register of professionals maintained by a regulator of health care or social work professionals.</w:t>
      </w:r>
    </w:p>
    <w:p w:rsidR="00C052D2" w:rsidRPr="00EB5F97" w:rsidRDefault="00C052D2" w:rsidP="00C052D2">
      <w:pPr>
        <w:spacing w:line="276" w:lineRule="auto"/>
        <w:jc w:val="both"/>
        <w:rPr>
          <w:rFonts w:eastAsiaTheme="minorHAnsi"/>
          <w:sz w:val="20"/>
          <w:szCs w:val="22"/>
          <w:lang w:eastAsia="en-US"/>
        </w:rPr>
      </w:pP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r w:rsidRPr="00EB5F97">
        <w:rPr>
          <w:rFonts w:eastAsiaTheme="minorHAnsi"/>
          <w:sz w:val="20"/>
          <w:szCs w:val="22"/>
          <w:lang w:eastAsia="en-US"/>
        </w:rPr>
        <w:t>I acknowledge the extracts from the Regulated Activities Regulations above.  I confirm that I do not fit within the definition of an “unfit person” as listed above and that there are no other grounds under which I would be ineligible to continue in post</w:t>
      </w:r>
      <w:r>
        <w:rPr>
          <w:rFonts w:eastAsiaTheme="minorHAnsi"/>
          <w:sz w:val="20"/>
          <w:szCs w:val="22"/>
          <w:lang w:eastAsia="en-US"/>
        </w:rPr>
        <w:t xml:space="preserve">.  </w:t>
      </w:r>
      <w:r w:rsidRPr="00EB5F97">
        <w:rPr>
          <w:rFonts w:eastAsiaTheme="minorHAnsi"/>
          <w:sz w:val="20"/>
          <w:szCs w:val="22"/>
          <w:lang w:eastAsia="en-US"/>
        </w:rPr>
        <w:t xml:space="preserve">I undertake to notify the </w:t>
      </w:r>
      <w:r>
        <w:rPr>
          <w:rFonts w:eastAsiaTheme="minorHAnsi"/>
          <w:sz w:val="20"/>
          <w:szCs w:val="22"/>
          <w:lang w:eastAsia="en-US"/>
        </w:rPr>
        <w:t>Trust</w:t>
      </w:r>
      <w:r w:rsidRPr="00EB5F97">
        <w:rPr>
          <w:rFonts w:eastAsiaTheme="minorHAnsi"/>
          <w:sz w:val="20"/>
          <w:szCs w:val="22"/>
          <w:lang w:eastAsia="en-US"/>
        </w:rPr>
        <w:t xml:space="preserve"> immediately if I no longer satisfy the criteria to be a “fit and proper person” or other grounds under which I would be ineligible to continue in post come to my attention.</w:t>
      </w: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r w:rsidRPr="00EB5F97">
        <w:rPr>
          <w:rFonts w:eastAsiaTheme="minorHAnsi"/>
          <w:sz w:val="20"/>
          <w:szCs w:val="22"/>
          <w:lang w:eastAsia="en-US"/>
        </w:rPr>
        <w:t>Name:</w:t>
      </w:r>
      <w:r w:rsidRPr="00EB5F97">
        <w:rPr>
          <w:rFonts w:eastAsiaTheme="minorHAnsi"/>
          <w:sz w:val="20"/>
          <w:szCs w:val="22"/>
          <w:lang w:eastAsia="en-US"/>
        </w:rPr>
        <w:tab/>
      </w:r>
      <w:r w:rsidRPr="00EB5F97">
        <w:rPr>
          <w:rFonts w:eastAsiaTheme="minorHAnsi"/>
          <w:sz w:val="20"/>
          <w:szCs w:val="22"/>
          <w:lang w:eastAsia="en-US"/>
        </w:rPr>
        <w:tab/>
      </w:r>
      <w:r w:rsidRPr="00EB5F97">
        <w:rPr>
          <w:rFonts w:eastAsiaTheme="minorHAnsi"/>
          <w:b/>
          <w:sz w:val="20"/>
          <w:szCs w:val="22"/>
          <w:lang w:eastAsia="en-US"/>
        </w:rPr>
        <w:t>[Name]</w:t>
      </w:r>
      <w:r w:rsidRPr="00EB5F97">
        <w:rPr>
          <w:rFonts w:eastAsiaTheme="minorHAnsi"/>
          <w:b/>
          <w:sz w:val="20"/>
          <w:szCs w:val="22"/>
          <w:lang w:eastAsia="en-US"/>
        </w:rPr>
        <w:tab/>
      </w:r>
      <w:r w:rsidRPr="00EB5F97">
        <w:rPr>
          <w:rFonts w:eastAsiaTheme="minorHAnsi"/>
          <w:sz w:val="20"/>
          <w:szCs w:val="22"/>
          <w:lang w:eastAsia="en-US"/>
        </w:rPr>
        <w:tab/>
      </w:r>
      <w:r w:rsidRPr="00EB5F97">
        <w:rPr>
          <w:rFonts w:eastAsiaTheme="minorHAnsi"/>
          <w:sz w:val="20"/>
          <w:szCs w:val="22"/>
          <w:lang w:eastAsia="en-US"/>
        </w:rPr>
        <w:tab/>
      </w:r>
      <w:r w:rsidRPr="00EB5F97">
        <w:rPr>
          <w:rFonts w:eastAsiaTheme="minorHAnsi"/>
          <w:sz w:val="20"/>
          <w:szCs w:val="22"/>
          <w:lang w:eastAsia="en-US"/>
        </w:rPr>
        <w:tab/>
        <w:t>Signed:</w:t>
      </w:r>
      <w:r w:rsidRPr="00EB5F97">
        <w:rPr>
          <w:rFonts w:eastAsiaTheme="minorHAnsi"/>
          <w:sz w:val="20"/>
          <w:szCs w:val="22"/>
          <w:lang w:eastAsia="en-US"/>
        </w:rPr>
        <w:tab/>
      </w:r>
      <w:r w:rsidRPr="00EB5F97">
        <w:rPr>
          <w:rFonts w:eastAsiaTheme="minorHAnsi"/>
          <w:sz w:val="20"/>
          <w:szCs w:val="22"/>
          <w:lang w:eastAsia="en-US"/>
        </w:rPr>
        <w:tab/>
      </w: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p>
    <w:p w:rsidR="00C052D2" w:rsidRPr="00EB5F97"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p>
    <w:p w:rsidR="00C052D2" w:rsidRDefault="00C052D2"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sz w:val="20"/>
          <w:szCs w:val="22"/>
          <w:lang w:eastAsia="en-US"/>
        </w:rPr>
      </w:pPr>
      <w:r w:rsidRPr="00EB5F97">
        <w:rPr>
          <w:rFonts w:eastAsiaTheme="minorHAnsi"/>
          <w:sz w:val="20"/>
          <w:szCs w:val="22"/>
          <w:lang w:eastAsia="en-US"/>
        </w:rPr>
        <w:t>Position:</w:t>
      </w:r>
      <w:r w:rsidRPr="00EB5F97">
        <w:rPr>
          <w:rFonts w:eastAsiaTheme="minorHAnsi"/>
          <w:sz w:val="20"/>
          <w:szCs w:val="22"/>
          <w:lang w:eastAsia="en-US"/>
        </w:rPr>
        <w:tab/>
      </w:r>
      <w:r w:rsidRPr="00EB5F97">
        <w:rPr>
          <w:rFonts w:eastAsiaTheme="minorHAnsi"/>
          <w:b/>
          <w:sz w:val="20"/>
          <w:szCs w:val="22"/>
          <w:lang w:eastAsia="en-US"/>
        </w:rPr>
        <w:t>[Position]</w:t>
      </w:r>
      <w:r w:rsidRPr="00EB5F97">
        <w:rPr>
          <w:rFonts w:eastAsiaTheme="minorHAnsi"/>
          <w:b/>
          <w:sz w:val="20"/>
          <w:szCs w:val="22"/>
          <w:lang w:eastAsia="en-US"/>
        </w:rPr>
        <w:tab/>
      </w:r>
      <w:r w:rsidRPr="00EB5F97">
        <w:rPr>
          <w:rFonts w:eastAsiaTheme="minorHAnsi"/>
          <w:b/>
          <w:sz w:val="20"/>
          <w:szCs w:val="22"/>
          <w:lang w:eastAsia="en-US"/>
        </w:rPr>
        <w:tab/>
      </w:r>
      <w:r w:rsidRPr="00EB5F97">
        <w:rPr>
          <w:rFonts w:eastAsiaTheme="minorHAnsi"/>
          <w:sz w:val="20"/>
          <w:szCs w:val="22"/>
          <w:lang w:eastAsia="en-US"/>
        </w:rPr>
        <w:tab/>
        <w:t>Date:</w:t>
      </w:r>
      <w:r w:rsidRPr="00EB5F97">
        <w:rPr>
          <w:rFonts w:eastAsiaTheme="minorHAnsi"/>
          <w:sz w:val="20"/>
          <w:szCs w:val="22"/>
          <w:lang w:eastAsia="en-US"/>
        </w:rPr>
        <w:tab/>
      </w:r>
      <w:r w:rsidRPr="00EB5F97">
        <w:rPr>
          <w:rFonts w:eastAsiaTheme="minorHAnsi"/>
          <w:sz w:val="20"/>
          <w:szCs w:val="22"/>
          <w:lang w:eastAsia="en-US"/>
        </w:rPr>
        <w:tab/>
      </w:r>
    </w:p>
    <w:p w:rsidR="00294E80" w:rsidRPr="00EB5F97" w:rsidRDefault="00294E80" w:rsidP="00C052D2">
      <w:pPr>
        <w:pBdr>
          <w:top w:val="single" w:sz="12" w:space="1" w:color="auto"/>
          <w:left w:val="single" w:sz="12" w:space="4" w:color="auto"/>
          <w:bottom w:val="single" w:sz="12" w:space="1" w:color="auto"/>
          <w:right w:val="single" w:sz="12" w:space="4" w:color="auto"/>
        </w:pBdr>
        <w:spacing w:line="276" w:lineRule="auto"/>
        <w:jc w:val="both"/>
        <w:rPr>
          <w:rFonts w:eastAsiaTheme="minorHAnsi"/>
          <w:b/>
          <w:sz w:val="20"/>
          <w:szCs w:val="22"/>
          <w:lang w:eastAsia="en-US"/>
        </w:rPr>
      </w:pPr>
    </w:p>
    <w:p w:rsidR="00C052D2" w:rsidRDefault="00C052D2" w:rsidP="00C052D2">
      <w:pPr>
        <w:spacing w:line="276" w:lineRule="auto"/>
        <w:rPr>
          <w:rFonts w:eastAsiaTheme="minorHAnsi"/>
          <w:bCs/>
          <w:color w:val="000000" w:themeColor="text1"/>
          <w:sz w:val="22"/>
          <w:szCs w:val="28"/>
          <w:lang w:eastAsia="en-US"/>
        </w:rPr>
      </w:pPr>
    </w:p>
    <w:p w:rsidR="00C052D2" w:rsidRDefault="00C052D2" w:rsidP="00C052D2">
      <w:pPr>
        <w:spacing w:after="200" w:line="276" w:lineRule="auto"/>
        <w:rPr>
          <w:rFonts w:eastAsiaTheme="minorHAnsi"/>
          <w:bCs/>
          <w:color w:val="000000" w:themeColor="text1"/>
          <w:sz w:val="22"/>
          <w:szCs w:val="22"/>
          <w:lang w:eastAsia="en-US"/>
        </w:rPr>
      </w:pPr>
    </w:p>
    <w:p w:rsidR="00EB0601" w:rsidRDefault="00EB0601">
      <w:bookmarkStart w:id="0" w:name="_GoBack"/>
      <w:bookmarkEnd w:id="0"/>
    </w:p>
    <w:sectPr w:rsidR="00EB0601" w:rsidSect="00D51FDC">
      <w:footerReference w:type="default" r:id="rId8"/>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061888"/>
      <w:docPartObj>
        <w:docPartGallery w:val="Page Numbers (Bottom of Page)"/>
        <w:docPartUnique/>
      </w:docPartObj>
    </w:sdtPr>
    <w:sdtEndPr/>
    <w:sdtContent>
      <w:sdt>
        <w:sdtPr>
          <w:id w:val="860082579"/>
          <w:docPartObj>
            <w:docPartGallery w:val="Page Numbers (Top of Page)"/>
            <w:docPartUnique/>
          </w:docPartObj>
        </w:sdtPr>
        <w:sdtEndPr/>
        <w:sdtContent>
          <w:p w:rsidR="00162DC4" w:rsidRDefault="00294E8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162DC4" w:rsidRDefault="00294E8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D2"/>
    <w:rsid w:val="00294E80"/>
    <w:rsid w:val="00A50B37"/>
    <w:rsid w:val="00B82D6C"/>
    <w:rsid w:val="00C052D2"/>
    <w:rsid w:val="00EB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2D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52D2"/>
    <w:pPr>
      <w:tabs>
        <w:tab w:val="center" w:pos="4513"/>
        <w:tab w:val="right" w:pos="9026"/>
      </w:tabs>
    </w:pPr>
  </w:style>
  <w:style w:type="character" w:customStyle="1" w:styleId="FooterChar">
    <w:name w:val="Footer Char"/>
    <w:basedOn w:val="DefaultParagraphFont"/>
    <w:link w:val="Footer"/>
    <w:uiPriority w:val="99"/>
    <w:rsid w:val="00C052D2"/>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C052D2"/>
    <w:rPr>
      <w:rFonts w:ascii="Tahoma" w:hAnsi="Tahoma" w:cs="Tahoma"/>
      <w:sz w:val="16"/>
      <w:szCs w:val="16"/>
    </w:rPr>
  </w:style>
  <w:style w:type="character" w:customStyle="1" w:styleId="BalloonTextChar">
    <w:name w:val="Balloon Text Char"/>
    <w:basedOn w:val="DefaultParagraphFont"/>
    <w:link w:val="BalloonText"/>
    <w:uiPriority w:val="99"/>
    <w:semiHidden/>
    <w:rsid w:val="00C052D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2D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52D2"/>
    <w:pPr>
      <w:tabs>
        <w:tab w:val="center" w:pos="4513"/>
        <w:tab w:val="right" w:pos="9026"/>
      </w:tabs>
    </w:pPr>
  </w:style>
  <w:style w:type="character" w:customStyle="1" w:styleId="FooterChar">
    <w:name w:val="Footer Char"/>
    <w:basedOn w:val="DefaultParagraphFont"/>
    <w:link w:val="Footer"/>
    <w:uiPriority w:val="99"/>
    <w:rsid w:val="00C052D2"/>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C052D2"/>
    <w:rPr>
      <w:rFonts w:ascii="Tahoma" w:hAnsi="Tahoma" w:cs="Tahoma"/>
      <w:sz w:val="16"/>
      <w:szCs w:val="16"/>
    </w:rPr>
  </w:style>
  <w:style w:type="character" w:customStyle="1" w:styleId="BalloonTextChar">
    <w:name w:val="Balloon Text Char"/>
    <w:basedOn w:val="DefaultParagraphFont"/>
    <w:link w:val="BalloonText"/>
    <w:uiPriority w:val="99"/>
    <w:semiHidden/>
    <w:rsid w:val="00C052D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ww.bsuh.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05CC-7E4A-4550-B969-915C2BE8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Bulled, Samantha</dc:creator>
  <cp:lastModifiedBy>Bulled, Samantha</cp:lastModifiedBy>
  <cp:revision>2</cp:revision>
  <dcterms:created xsi:type="dcterms:W3CDTF">2014-12-16T10:17:00Z</dcterms:created>
  <dcterms:modified xsi:type="dcterms:W3CDTF">2014-12-16T10:20:00Z</dcterms:modified>
</cp:coreProperties>
</file>