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6E20" w14:textId="34829088" w:rsidR="00AE7F23" w:rsidRDefault="00D65303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Covid19</w:t>
      </w:r>
      <w:r w:rsidR="004F663E">
        <w:rPr>
          <w:b/>
          <w:sz w:val="28"/>
          <w:szCs w:val="28"/>
          <w:u w:val="single"/>
        </w:rPr>
        <w:t xml:space="preserve"> and Influenza</w:t>
      </w:r>
      <w:r>
        <w:rPr>
          <w:b/>
          <w:sz w:val="28"/>
          <w:szCs w:val="28"/>
          <w:u w:val="single"/>
        </w:rPr>
        <w:t xml:space="preserve"> Vaccinations </w:t>
      </w:r>
      <w:r w:rsidR="00F44AC0">
        <w:rPr>
          <w:b/>
          <w:sz w:val="28"/>
          <w:szCs w:val="28"/>
          <w:u w:val="single"/>
        </w:rPr>
        <w:t>Autumn</w:t>
      </w:r>
      <w:r w:rsidR="00B42FEB">
        <w:rPr>
          <w:b/>
          <w:sz w:val="28"/>
          <w:szCs w:val="28"/>
          <w:u w:val="single"/>
        </w:rPr>
        <w:t>/Winter</w:t>
      </w:r>
      <w:r w:rsidR="00F44AC0">
        <w:rPr>
          <w:b/>
          <w:sz w:val="28"/>
          <w:szCs w:val="28"/>
          <w:u w:val="single"/>
        </w:rPr>
        <w:t xml:space="preserve"> 2</w:t>
      </w:r>
      <w:r w:rsidR="00B42FEB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Boosters for Long Term Inpatients</w:t>
      </w:r>
    </w:p>
    <w:p w14:paraId="4AABC99E" w14:textId="28096256" w:rsidR="00F44AC0" w:rsidRDefault="00F44AC0" w:rsidP="00D65303">
      <w:r>
        <w:t>Following on from the spring campaign, the JCVI has recommended a move to regular, planned and targeted boosting as the most important strategy to control COVID-19. For the 202</w:t>
      </w:r>
      <w:r w:rsidR="00EE68AC">
        <w:t>3</w:t>
      </w:r>
      <w:r>
        <w:t xml:space="preserve"> autumn</w:t>
      </w:r>
      <w:r w:rsidR="002A2662">
        <w:t>/winter</w:t>
      </w:r>
      <w:r>
        <w:t xml:space="preserve"> programme, the primary objective is to augment immunity in those at higher risk from COVID-19 and thereby optimise protection against severe COVID-19, specifically hospitalisation and death, over winter 202</w:t>
      </w:r>
      <w:r w:rsidR="007659A3">
        <w:t>3</w:t>
      </w:r>
      <w:r>
        <w:t>/2</w:t>
      </w:r>
      <w:r w:rsidR="007659A3">
        <w:t>4</w:t>
      </w:r>
      <w:r>
        <w:t xml:space="preserve">. </w:t>
      </w:r>
      <w:r w:rsidR="004F663E">
        <w:t>Additionally these patients can also receive the influenza vaccination</w:t>
      </w:r>
      <w:r w:rsidR="00C81358">
        <w:t>.</w:t>
      </w:r>
    </w:p>
    <w:p w14:paraId="4F5D09D0" w14:textId="2C20A019" w:rsidR="00F44AC0" w:rsidRDefault="00F44AC0" w:rsidP="00D65303">
      <w:r>
        <w:t>The following groups relevant to this proposal should be offered a COVID-19 booster vaccine in the autumn</w:t>
      </w:r>
      <w:r w:rsidR="00A16ADD">
        <w:t>/winter</w:t>
      </w:r>
      <w:r>
        <w:t xml:space="preserve"> of 202</w:t>
      </w:r>
      <w:r w:rsidR="00B42FEB">
        <w:t>3</w:t>
      </w:r>
      <w:r>
        <w:t xml:space="preserve">: </w:t>
      </w:r>
    </w:p>
    <w:p w14:paraId="339862A5" w14:textId="37298959" w:rsidR="00F44AC0" w:rsidRDefault="00F44AC0" w:rsidP="00D65303">
      <w:r>
        <w:t xml:space="preserve">● </w:t>
      </w:r>
      <w:r w:rsidR="00F269BA">
        <w:t>those</w:t>
      </w:r>
      <w:r>
        <w:t xml:space="preserve"> aged </w:t>
      </w:r>
      <w:r w:rsidR="00874E11">
        <w:t>65</w:t>
      </w:r>
      <w:r>
        <w:t xml:space="preserve"> years and over </w:t>
      </w:r>
    </w:p>
    <w:p w14:paraId="59705C7E" w14:textId="60C2CECE" w:rsidR="00F44AC0" w:rsidRDefault="00F44AC0" w:rsidP="00D65303">
      <w:r>
        <w:t xml:space="preserve">● </w:t>
      </w:r>
      <w:r w:rsidR="00F269BA">
        <w:t>those</w:t>
      </w:r>
      <w:r>
        <w:t xml:space="preserve"> aged </w:t>
      </w:r>
      <w:r w:rsidR="00874E11">
        <w:t>6 months</w:t>
      </w:r>
      <w:r>
        <w:t xml:space="preserve"> to </w:t>
      </w:r>
      <w:r w:rsidR="00874E11">
        <w:t>64</w:t>
      </w:r>
      <w:r>
        <w:t xml:space="preserve"> years in a clinical risk group as defined in </w:t>
      </w:r>
      <w:r w:rsidR="00E00CAC">
        <w:t>Green Book Chapter 14a: Covid-19</w:t>
      </w:r>
    </w:p>
    <w:p w14:paraId="08246824" w14:textId="4D299AAA" w:rsidR="00D65303" w:rsidRDefault="00000000" w:rsidP="00D65303">
      <w:hyperlink r:id="rId7" w:history="1">
        <w:r w:rsidR="00F44AC0" w:rsidRPr="007E63DA">
          <w:rPr>
            <w:rStyle w:val="Hyperlink"/>
          </w:rPr>
          <w:t>https://assets.publishing.service.gov.uk/government/uploads/system/uploads/attachment_data/file/1057798/Greenbook-chapter-14a-28Feb22.pdf</w:t>
        </w:r>
      </w:hyperlink>
      <w:r w:rsidR="00D65303">
        <w:t xml:space="preserve"> </w:t>
      </w:r>
    </w:p>
    <w:p w14:paraId="5F923BC5" w14:textId="77777777" w:rsidR="00C81358" w:rsidRDefault="00C81358" w:rsidP="00C81358">
      <w:r>
        <w:t>Those eligible for NHS flu vaccine in 2022/23 are:</w:t>
      </w:r>
    </w:p>
    <w:p w14:paraId="080BE9AF" w14:textId="77777777" w:rsidR="00C81358" w:rsidRDefault="00C81358" w:rsidP="00C81358">
      <w:r>
        <w:t>• those aged 65 years and over</w:t>
      </w:r>
    </w:p>
    <w:p w14:paraId="34EC3E42" w14:textId="2CE275D2" w:rsidR="004F663E" w:rsidRDefault="00C81358" w:rsidP="00C81358">
      <w:r>
        <w:t xml:space="preserve">• those aged </w:t>
      </w:r>
      <w:r w:rsidR="00D1606E">
        <w:t>6</w:t>
      </w:r>
      <w:r>
        <w:t xml:space="preserve"> months to under 65 years in clinical risk groups (as defined by the influenza chapter in ‘Immunisation against infectious disease’ (the ‘Green Book’)</w:t>
      </w:r>
    </w:p>
    <w:p w14:paraId="1FF58D3C" w14:textId="2DAF2191" w:rsidR="00C81358" w:rsidRDefault="00000000" w:rsidP="00C81358">
      <w:hyperlink r:id="rId8" w:history="1">
        <w:r w:rsidR="00C81358" w:rsidRPr="00CF4A11">
          <w:rPr>
            <w:rStyle w:val="Hyperlink"/>
          </w:rPr>
          <w:t>https://assets.publishing.service.gov.uk/government/uploads/system/uploads/attachment_data/file/1107978/Influenza-green-book-chapter19-16September22.pdf</w:t>
        </w:r>
      </w:hyperlink>
      <w:r w:rsidR="00C81358">
        <w:t xml:space="preserve"> </w:t>
      </w:r>
    </w:p>
    <w:p w14:paraId="77BBDB28" w14:textId="7176B938" w:rsidR="00D65303" w:rsidRDefault="00D65303" w:rsidP="00D65303">
      <w:r>
        <w:t xml:space="preserve">Within </w:t>
      </w:r>
      <w:r w:rsidR="00E7514A">
        <w:t>UHSx</w:t>
      </w:r>
      <w:r>
        <w:t xml:space="preserve"> there are several long stay units where </w:t>
      </w:r>
      <w:r w:rsidR="00033716">
        <w:t xml:space="preserve">eligible </w:t>
      </w:r>
      <w:r>
        <w:t xml:space="preserve">patients will continue various forms of </w:t>
      </w:r>
      <w:r w:rsidR="00E00CAC">
        <w:t xml:space="preserve">treatment and </w:t>
      </w:r>
      <w:r>
        <w:t>rehabilitation as inpatients for more than 21 days. These patients have no a</w:t>
      </w:r>
      <w:r w:rsidR="00033716">
        <w:t>ccess to any other</w:t>
      </w:r>
      <w:r>
        <w:t xml:space="preserve"> healthcare facilities and all their healthcare need</w:t>
      </w:r>
      <w:r w:rsidR="00033716">
        <w:t>s</w:t>
      </w:r>
      <w:r>
        <w:t xml:space="preserve"> are met within these units. Breakdown of the units and number of beds within is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486"/>
      </w:tblGrid>
      <w:tr w:rsidR="00D65303" w14:paraId="43E0BF97" w14:textId="77777777" w:rsidTr="00D65303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D38291" w14:textId="77777777" w:rsidR="00D65303" w:rsidRDefault="00D65303" w:rsidP="00D65303">
            <w:pPr>
              <w:jc w:val="center"/>
            </w:pPr>
            <w:r>
              <w:t>Rehab Unit</w: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44EA63" w14:textId="77777777" w:rsidR="00D65303" w:rsidRDefault="00D65303" w:rsidP="00D65303">
            <w:pPr>
              <w:jc w:val="center"/>
            </w:pPr>
            <w:r>
              <w:t>No of Beds (approx.)</w:t>
            </w:r>
          </w:p>
        </w:tc>
      </w:tr>
      <w:tr w:rsidR="00D65303" w14:paraId="481D49EF" w14:textId="77777777" w:rsidTr="00D65303">
        <w:tc>
          <w:tcPr>
            <w:tcW w:w="4621" w:type="dxa"/>
            <w:tcBorders>
              <w:top w:val="single" w:sz="18" w:space="0" w:color="auto"/>
              <w:left w:val="single" w:sz="18" w:space="0" w:color="auto"/>
            </w:tcBorders>
          </w:tcPr>
          <w:p w14:paraId="2022E5B7" w14:textId="77777777" w:rsidR="00D65303" w:rsidRDefault="00D65303" w:rsidP="00D65303">
            <w:pPr>
              <w:jc w:val="center"/>
            </w:pPr>
            <w:r>
              <w:t>SRH</w:t>
            </w:r>
          </w:p>
        </w:tc>
        <w:tc>
          <w:tcPr>
            <w:tcW w:w="4621" w:type="dxa"/>
            <w:tcBorders>
              <w:top w:val="single" w:sz="18" w:space="0" w:color="auto"/>
              <w:right w:val="single" w:sz="18" w:space="0" w:color="auto"/>
            </w:tcBorders>
          </w:tcPr>
          <w:p w14:paraId="75D3597F" w14:textId="77777777" w:rsidR="00D65303" w:rsidRDefault="00D65303" w:rsidP="00D65303">
            <w:pPr>
              <w:jc w:val="center"/>
            </w:pPr>
            <w:r>
              <w:t>12</w:t>
            </w:r>
          </w:p>
        </w:tc>
      </w:tr>
      <w:tr w:rsidR="00D65303" w14:paraId="5C2BE1C8" w14:textId="77777777" w:rsidTr="00D65303">
        <w:tc>
          <w:tcPr>
            <w:tcW w:w="4621" w:type="dxa"/>
            <w:tcBorders>
              <w:left w:val="single" w:sz="18" w:space="0" w:color="auto"/>
            </w:tcBorders>
          </w:tcPr>
          <w:p w14:paraId="26AA25C6" w14:textId="226376A1" w:rsidR="00D65303" w:rsidRDefault="00D65303" w:rsidP="00D65303">
            <w:pPr>
              <w:jc w:val="center"/>
            </w:pPr>
            <w:r>
              <w:t>Newtimber</w:t>
            </w:r>
            <w:r w:rsidR="00F279D5">
              <w:t xml:space="preserve"> (SRC)</w:t>
            </w:r>
          </w:p>
        </w:tc>
        <w:tc>
          <w:tcPr>
            <w:tcW w:w="4621" w:type="dxa"/>
            <w:tcBorders>
              <w:right w:val="single" w:sz="18" w:space="0" w:color="auto"/>
            </w:tcBorders>
          </w:tcPr>
          <w:p w14:paraId="6877EF80" w14:textId="77777777" w:rsidR="00D65303" w:rsidRDefault="00D65303" w:rsidP="00D65303">
            <w:pPr>
              <w:jc w:val="center"/>
            </w:pPr>
            <w:r>
              <w:t>22</w:t>
            </w:r>
          </w:p>
        </w:tc>
      </w:tr>
      <w:tr w:rsidR="00D65303" w14:paraId="5EBC6DBC" w14:textId="77777777" w:rsidTr="00D65303">
        <w:tc>
          <w:tcPr>
            <w:tcW w:w="4621" w:type="dxa"/>
            <w:tcBorders>
              <w:left w:val="single" w:sz="18" w:space="0" w:color="auto"/>
            </w:tcBorders>
          </w:tcPr>
          <w:p w14:paraId="1A819F28" w14:textId="45BDCBE8" w:rsidR="00D65303" w:rsidRDefault="00D65303" w:rsidP="00D65303">
            <w:pPr>
              <w:jc w:val="center"/>
            </w:pPr>
            <w:r>
              <w:t>Lindfield</w:t>
            </w:r>
            <w:r w:rsidR="00F279D5">
              <w:t xml:space="preserve"> (SRC)</w:t>
            </w:r>
          </w:p>
        </w:tc>
        <w:tc>
          <w:tcPr>
            <w:tcW w:w="4621" w:type="dxa"/>
            <w:tcBorders>
              <w:right w:val="single" w:sz="18" w:space="0" w:color="auto"/>
            </w:tcBorders>
          </w:tcPr>
          <w:p w14:paraId="79C391C7" w14:textId="77777777" w:rsidR="00D65303" w:rsidRDefault="00D65303" w:rsidP="00D65303">
            <w:pPr>
              <w:jc w:val="center"/>
            </w:pPr>
            <w:r>
              <w:t>22</w:t>
            </w:r>
          </w:p>
        </w:tc>
      </w:tr>
      <w:tr w:rsidR="00D65303" w14:paraId="4C0A84F5" w14:textId="77777777" w:rsidTr="00D65303">
        <w:tc>
          <w:tcPr>
            <w:tcW w:w="4621" w:type="dxa"/>
            <w:tcBorders>
              <w:left w:val="single" w:sz="18" w:space="0" w:color="auto"/>
              <w:bottom w:val="single" w:sz="18" w:space="0" w:color="auto"/>
            </w:tcBorders>
          </w:tcPr>
          <w:p w14:paraId="7DCABB9B" w14:textId="77777777" w:rsidR="00D65303" w:rsidRDefault="00D65303" w:rsidP="00D65303">
            <w:pPr>
              <w:jc w:val="center"/>
            </w:pPr>
            <w:r>
              <w:t>Newhaven</w:t>
            </w:r>
          </w:p>
        </w:tc>
        <w:tc>
          <w:tcPr>
            <w:tcW w:w="4621" w:type="dxa"/>
            <w:tcBorders>
              <w:bottom w:val="single" w:sz="18" w:space="0" w:color="auto"/>
              <w:right w:val="single" w:sz="18" w:space="0" w:color="auto"/>
            </w:tcBorders>
          </w:tcPr>
          <w:p w14:paraId="658C223E" w14:textId="77777777" w:rsidR="00D65303" w:rsidRDefault="00D65303" w:rsidP="00D65303">
            <w:pPr>
              <w:jc w:val="center"/>
            </w:pPr>
            <w:r>
              <w:t>32</w:t>
            </w:r>
          </w:p>
        </w:tc>
      </w:tr>
    </w:tbl>
    <w:p w14:paraId="4A9B7C13" w14:textId="3415A038" w:rsidR="00D65303" w:rsidRDefault="00D65303" w:rsidP="00D65303"/>
    <w:p w14:paraId="3CB05830" w14:textId="7A531CDB" w:rsidR="00E00CAC" w:rsidRDefault="00E00CAC" w:rsidP="00D65303">
      <w:r>
        <w:t>Provision is also made for long stay inpatients on acute general and speciality wards. The management of Covid19 vaccination will be managed by the lead/senior ward nurses</w:t>
      </w:r>
      <w:r w:rsidR="00447D86">
        <w:t xml:space="preserve"> in collaboration with medics and </w:t>
      </w:r>
      <w:r w:rsidR="003F576E">
        <w:t>pharmacists</w:t>
      </w:r>
      <w:r>
        <w:t xml:space="preserve"> to enable cohorting of such patients for improved vaccine stock management.</w:t>
      </w:r>
    </w:p>
    <w:p w14:paraId="146B6073" w14:textId="77777777" w:rsidR="003F576E" w:rsidRDefault="003F576E" w:rsidP="00D65303"/>
    <w:p w14:paraId="49F3D345" w14:textId="618708D9" w:rsidR="00D65303" w:rsidRDefault="00D65303" w:rsidP="00D65303">
      <w:r>
        <w:lastRenderedPageBreak/>
        <w:t>Therefore</w:t>
      </w:r>
      <w:r w:rsidR="00033716">
        <w:t xml:space="preserve"> we are proposing</w:t>
      </w:r>
      <w:r>
        <w:t xml:space="preserve"> a limited</w:t>
      </w:r>
      <w:r w:rsidR="00033716">
        <w:t xml:space="preserve"> rollout</w:t>
      </w:r>
      <w:r>
        <w:t xml:space="preserve"> vaccination programme to these patients using the below criteria for eligibility: </w:t>
      </w:r>
    </w:p>
    <w:p w14:paraId="29FCED43" w14:textId="6DD22978" w:rsidR="00D65303" w:rsidRDefault="00D65303" w:rsidP="00D65303">
      <w:r>
        <w:t xml:space="preserve">-       </w:t>
      </w:r>
      <w:r w:rsidR="00E00CAC">
        <w:t xml:space="preserve"> </w:t>
      </w:r>
      <w:r w:rsidR="009F64D7">
        <w:t>Long stay inpatient</w:t>
      </w:r>
      <w:r>
        <w:t xml:space="preserve"> at the trust with no means of accessing vaccine in any other way</w:t>
      </w:r>
    </w:p>
    <w:p w14:paraId="6726EC18" w14:textId="77777777" w:rsidR="00D65303" w:rsidRDefault="00D65303" w:rsidP="00D65303">
      <w:r>
        <w:t>-          &gt;21 days as an inpatient</w:t>
      </w:r>
    </w:p>
    <w:p w14:paraId="5B3C3CDE" w14:textId="77777777" w:rsidR="00D65303" w:rsidRDefault="00D65303" w:rsidP="00D65303">
      <w:r>
        <w:t>-          Not acutely unwell. If acutely unwell, to differ vaccination until recovered</w:t>
      </w:r>
    </w:p>
    <w:p w14:paraId="30F7FCEC" w14:textId="59FCEDE8" w:rsidR="00D65303" w:rsidRDefault="00D65303" w:rsidP="00D65303">
      <w:r>
        <w:t>-          &gt;</w:t>
      </w:r>
      <w:r w:rsidR="00982169">
        <w:t>3</w:t>
      </w:r>
      <w:r>
        <w:t xml:space="preserve"> months since their last dose</w:t>
      </w:r>
      <w:r w:rsidR="00C81358">
        <w:t xml:space="preserve"> (for Covid19 Vaccination)</w:t>
      </w:r>
    </w:p>
    <w:p w14:paraId="34AEAF45" w14:textId="7855F8F8" w:rsidR="00D65303" w:rsidRPr="00D65303" w:rsidRDefault="00D65303" w:rsidP="00D65303">
      <w:r>
        <w:t xml:space="preserve">This </w:t>
      </w:r>
      <w:r w:rsidR="009F64D7">
        <w:t xml:space="preserve">will </w:t>
      </w:r>
      <w:r w:rsidR="009605DC">
        <w:t>be</w:t>
      </w:r>
      <w:r w:rsidR="009F64D7">
        <w:t xml:space="preserve"> incorporated</w:t>
      </w:r>
      <w:r>
        <w:t xml:space="preserve"> within daily</w:t>
      </w:r>
      <w:r w:rsidR="009F64D7">
        <w:t xml:space="preserve"> clinical/ward</w:t>
      </w:r>
      <w:r>
        <w:t xml:space="preserve"> activity</w:t>
      </w:r>
      <w:r w:rsidR="009F64D7">
        <w:t xml:space="preserve"> and </w:t>
      </w:r>
      <w:r w:rsidR="00681C36">
        <w:t xml:space="preserve">is </w:t>
      </w:r>
      <w:r w:rsidR="009F64D7">
        <w:t>not additionally resourced.</w:t>
      </w:r>
    </w:p>
    <w:sectPr w:rsidR="00D65303" w:rsidRPr="00D6530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D49C" w14:textId="77777777" w:rsidR="00A154DB" w:rsidRDefault="00A154DB" w:rsidP="00D65303">
      <w:pPr>
        <w:spacing w:after="0" w:line="240" w:lineRule="auto"/>
      </w:pPr>
      <w:r>
        <w:separator/>
      </w:r>
    </w:p>
  </w:endnote>
  <w:endnote w:type="continuationSeparator" w:id="0">
    <w:p w14:paraId="4F8DB5E6" w14:textId="77777777" w:rsidR="00A154DB" w:rsidRDefault="00A154DB" w:rsidP="00D6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884A" w14:textId="6D8B31CA" w:rsidR="00033716" w:rsidRDefault="00033716" w:rsidP="00033716">
    <w:pPr>
      <w:pStyle w:val="Footer"/>
      <w:jc w:val="right"/>
    </w:pPr>
    <w:r>
      <w:t xml:space="preserve">Vikesh Gudka, Clinical Commissioning Pharmacist, </w:t>
    </w:r>
    <w:r w:rsidR="00C81358">
      <w:t>Oct</w:t>
    </w:r>
    <w:r>
      <w:t xml:space="preserve"> 2</w:t>
    </w:r>
    <w:r w:rsidR="009605DC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B6E6" w14:textId="77777777" w:rsidR="00A154DB" w:rsidRDefault="00A154DB" w:rsidP="00D65303">
      <w:pPr>
        <w:spacing w:after="0" w:line="240" w:lineRule="auto"/>
      </w:pPr>
      <w:r>
        <w:separator/>
      </w:r>
    </w:p>
  </w:footnote>
  <w:footnote w:type="continuationSeparator" w:id="0">
    <w:p w14:paraId="4EE9AEFE" w14:textId="77777777" w:rsidR="00A154DB" w:rsidRDefault="00A154DB" w:rsidP="00D65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F6E6" w14:textId="77777777" w:rsidR="00D65303" w:rsidRDefault="00D65303" w:rsidP="00D65303">
    <w:pPr>
      <w:pStyle w:val="Header"/>
      <w:jc w:val="right"/>
    </w:pPr>
    <w:r>
      <w:rPr>
        <w:noProof/>
        <w:lang w:eastAsia="en-GB"/>
      </w:rPr>
      <w:drawing>
        <wp:inline distT="0" distB="0" distL="0" distR="0" wp14:anchorId="1D94CFEC" wp14:editId="70F94E79">
          <wp:extent cx="1261525" cy="519379"/>
          <wp:effectExtent l="0" t="0" r="0" b="0"/>
          <wp:docPr id="1" name="Picture 1" descr="https://nww.uhsussex.nhs.uk/wp-content/uploads/2021/03/UHS-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nww.uhsussex.nhs.uk/wp-content/uploads/2021/03/UHS-logo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98" cy="52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03"/>
    <w:rsid w:val="00033716"/>
    <w:rsid w:val="002A2662"/>
    <w:rsid w:val="003F576E"/>
    <w:rsid w:val="00447D86"/>
    <w:rsid w:val="00462146"/>
    <w:rsid w:val="004803B6"/>
    <w:rsid w:val="004F663E"/>
    <w:rsid w:val="00681C36"/>
    <w:rsid w:val="007659A3"/>
    <w:rsid w:val="007E010B"/>
    <w:rsid w:val="00874E11"/>
    <w:rsid w:val="0090717A"/>
    <w:rsid w:val="009605DC"/>
    <w:rsid w:val="00982169"/>
    <w:rsid w:val="009F64D7"/>
    <w:rsid w:val="00A154DB"/>
    <w:rsid w:val="00A16ADD"/>
    <w:rsid w:val="00AE7F23"/>
    <w:rsid w:val="00B42FEB"/>
    <w:rsid w:val="00C423F7"/>
    <w:rsid w:val="00C81358"/>
    <w:rsid w:val="00D1606E"/>
    <w:rsid w:val="00D65303"/>
    <w:rsid w:val="00E00CAC"/>
    <w:rsid w:val="00E7514A"/>
    <w:rsid w:val="00EE68AC"/>
    <w:rsid w:val="00F269BA"/>
    <w:rsid w:val="00F279D5"/>
    <w:rsid w:val="00F4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FA45F"/>
  <w15:docId w15:val="{09A27C01-E354-4DE9-B6FE-130F8B8C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303"/>
  </w:style>
  <w:style w:type="paragraph" w:styleId="Footer">
    <w:name w:val="footer"/>
    <w:basedOn w:val="Normal"/>
    <w:link w:val="FooterChar"/>
    <w:uiPriority w:val="99"/>
    <w:unhideWhenUsed/>
    <w:rsid w:val="00D65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303"/>
  </w:style>
  <w:style w:type="paragraph" w:styleId="BalloonText">
    <w:name w:val="Balloon Text"/>
    <w:basedOn w:val="Normal"/>
    <w:link w:val="BalloonTextChar"/>
    <w:uiPriority w:val="99"/>
    <w:semiHidden/>
    <w:unhideWhenUsed/>
    <w:rsid w:val="00D6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53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5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44A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71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1107978/Influenza-green-book-chapter19-16September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government/uploads/system/uploads/attachment_data/file/1057798/Greenbook-chapter-14a-28Feb2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EF520-4644-4A12-935D-E9B38D4D1A1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Gudka, Vikesh</dc:creator>
  <cp:lastModifiedBy>GUDKA, Vikesh (UNIVERSITY HOSPITALS SUSSEX NHS FOUNDATION TRUST)</cp:lastModifiedBy>
  <cp:revision>7</cp:revision>
  <dcterms:created xsi:type="dcterms:W3CDTF">2023-10-02T14:12:00Z</dcterms:created>
  <dcterms:modified xsi:type="dcterms:W3CDTF">2023-11-13T12:12:00Z</dcterms:modified>
</cp:coreProperties>
</file>