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4C3947" w:rsidP="006D682D" w:rsidRDefault="006D682D" w14:paraId="34AC6D8E" wp14:textId="77777777">
      <w:pPr>
        <w:jc w:val="center"/>
        <w:rPr>
          <w:sz w:val="36"/>
          <w:szCs w:val="36"/>
        </w:rPr>
      </w:pPr>
      <w:bookmarkStart w:name="_GoBack" w:id="0"/>
      <w:bookmarkEnd w:id="0"/>
      <w:r w:rsidRPr="006D682D">
        <w:rPr>
          <w:sz w:val="36"/>
          <w:szCs w:val="36"/>
        </w:rPr>
        <w:t xml:space="preserve">Understanding the metabolic complications of Regional </w:t>
      </w:r>
      <w:r>
        <w:rPr>
          <w:sz w:val="36"/>
          <w:szCs w:val="36"/>
        </w:rPr>
        <w:t>Citrate A</w:t>
      </w:r>
      <w:r w:rsidRPr="006D682D">
        <w:rPr>
          <w:sz w:val="36"/>
          <w:szCs w:val="36"/>
        </w:rPr>
        <w:t>nticoagulation for CRRT – a basic guide</w:t>
      </w:r>
    </w:p>
    <w:p xmlns:wp14="http://schemas.microsoft.com/office/word/2010/wordml" w:rsidRPr="006D682D" w:rsidR="006D682D" w:rsidRDefault="006D682D" w14:paraId="672A6659" wp14:textId="77777777">
      <w:pPr>
        <w:rPr>
          <w:sz w:val="24"/>
          <w:szCs w:val="24"/>
        </w:rPr>
      </w:pPr>
    </w:p>
    <w:p xmlns:wp14="http://schemas.microsoft.com/office/word/2010/wordml" w:rsidR="00A903A8" w:rsidRDefault="006D682D" w14:paraId="34021B16" wp14:textId="77777777">
      <w:pPr>
        <w:rPr>
          <w:sz w:val="24"/>
          <w:szCs w:val="24"/>
        </w:rPr>
      </w:pPr>
      <w:r>
        <w:rPr>
          <w:sz w:val="24"/>
          <w:szCs w:val="24"/>
        </w:rPr>
        <w:t>The basi</w:t>
      </w:r>
      <w:r w:rsidR="00AC41F1">
        <w:rPr>
          <w:sz w:val="24"/>
          <w:szCs w:val="24"/>
        </w:rPr>
        <w:t>c premise is that if you infuse</w:t>
      </w:r>
      <w:r>
        <w:rPr>
          <w:sz w:val="24"/>
          <w:szCs w:val="24"/>
        </w:rPr>
        <w:t xml:space="preserve"> citrate into blood, it will che</w:t>
      </w:r>
      <w:r w:rsidR="00A903A8">
        <w:rPr>
          <w:sz w:val="24"/>
          <w:szCs w:val="24"/>
        </w:rPr>
        <w:t>late the free, ionized calcium. T</w:t>
      </w:r>
      <w:r>
        <w:rPr>
          <w:sz w:val="24"/>
          <w:szCs w:val="24"/>
        </w:rPr>
        <w:t>his will halt the coagulation cascade and inhibit platelet activation. To achieve effective anticoagulation</w:t>
      </w:r>
      <w:r w:rsidR="00A903A8">
        <w:rPr>
          <w:sz w:val="24"/>
          <w:szCs w:val="24"/>
        </w:rPr>
        <w:t xml:space="preserve"> of the CRRT circuit</w:t>
      </w:r>
      <w:r>
        <w:rPr>
          <w:sz w:val="24"/>
          <w:szCs w:val="24"/>
        </w:rPr>
        <w:t>, there is a fixed delivery of citrate, proportionate to the blo</w:t>
      </w:r>
      <w:r w:rsidR="00AC41F1">
        <w:rPr>
          <w:sz w:val="24"/>
          <w:szCs w:val="24"/>
        </w:rPr>
        <w:t xml:space="preserve">od flow, </w:t>
      </w:r>
      <w:r w:rsidR="00A903A8">
        <w:rPr>
          <w:sz w:val="24"/>
          <w:szCs w:val="24"/>
        </w:rPr>
        <w:t>into the afferent limb of the circuit. The fixed ratio of citrate to blood results in a citrate concentration which will therapeutically anticoagulate but can be easily reversed.</w:t>
      </w:r>
    </w:p>
    <w:p xmlns:wp14="http://schemas.microsoft.com/office/word/2010/wordml" w:rsidR="006D682D" w:rsidRDefault="006D682D" w14:paraId="5E49825E" wp14:textId="43E1AF27">
      <w:pPr>
        <w:rPr>
          <w:sz w:val="24"/>
          <w:szCs w:val="24"/>
        </w:rPr>
      </w:pPr>
      <w:r w:rsidRPr="5390D18B" w:rsidR="006D682D">
        <w:rPr>
          <w:sz w:val="24"/>
          <w:szCs w:val="24"/>
        </w:rPr>
        <w:t xml:space="preserve">The citrate solution </w:t>
      </w:r>
      <w:r w:rsidRPr="5390D18B" w:rsidR="2D04BCE2">
        <w:rPr>
          <w:sz w:val="24"/>
          <w:szCs w:val="24"/>
        </w:rPr>
        <w:t xml:space="preserve">we use </w:t>
      </w:r>
      <w:r w:rsidRPr="5390D18B" w:rsidR="006D682D">
        <w:rPr>
          <w:sz w:val="24"/>
          <w:szCs w:val="24"/>
        </w:rPr>
        <w:t>is rich in acid and sodium too, and a proportion of th</w:t>
      </w:r>
      <w:r w:rsidRPr="5390D18B" w:rsidR="2EA08D43">
        <w:rPr>
          <w:sz w:val="24"/>
          <w:szCs w:val="24"/>
        </w:rPr>
        <w:t>is</w:t>
      </w:r>
      <w:r w:rsidRPr="5390D18B" w:rsidR="006D682D">
        <w:rPr>
          <w:sz w:val="24"/>
          <w:szCs w:val="24"/>
        </w:rPr>
        <w:t xml:space="preserve"> anticoagulant solution (AC-A) is delivered </w:t>
      </w:r>
      <w:r w:rsidRPr="5390D18B" w:rsidR="72083F55">
        <w:rPr>
          <w:sz w:val="24"/>
          <w:szCs w:val="24"/>
        </w:rPr>
        <w:t xml:space="preserve">back </w:t>
      </w:r>
      <w:r w:rsidRPr="5390D18B" w:rsidR="006D682D">
        <w:rPr>
          <w:sz w:val="24"/>
          <w:szCs w:val="24"/>
        </w:rPr>
        <w:t>to the patient</w:t>
      </w:r>
      <w:r w:rsidRPr="5390D18B" w:rsidR="00AC41F1">
        <w:rPr>
          <w:sz w:val="24"/>
          <w:szCs w:val="24"/>
        </w:rPr>
        <w:t xml:space="preserve"> down the efferent limb of the CRRT circuit</w:t>
      </w:r>
      <w:r w:rsidRPr="5390D18B" w:rsidR="006D682D">
        <w:rPr>
          <w:sz w:val="24"/>
          <w:szCs w:val="24"/>
        </w:rPr>
        <w:t>.</w:t>
      </w:r>
      <w:r w:rsidRPr="5390D18B" w:rsidR="00425495">
        <w:rPr>
          <w:sz w:val="24"/>
          <w:szCs w:val="24"/>
        </w:rPr>
        <w:t xml:space="preserve"> </w:t>
      </w:r>
      <w:r w:rsidRPr="5390D18B" w:rsidR="00425495">
        <w:rPr>
          <w:sz w:val="24"/>
          <w:szCs w:val="24"/>
        </w:rPr>
        <w:t xml:space="preserve">The ACCUSOL buffers much of the acid effect, and there is little or no risk of significant </w:t>
      </w:r>
      <w:r w:rsidRPr="5390D18B" w:rsidR="00425495">
        <w:rPr>
          <w:sz w:val="24"/>
          <w:szCs w:val="24"/>
        </w:rPr>
        <w:t>hypernatraemia</w:t>
      </w:r>
      <w:r w:rsidRPr="5390D18B" w:rsidR="00425495">
        <w:rPr>
          <w:sz w:val="24"/>
          <w:szCs w:val="24"/>
        </w:rPr>
        <w:t>.</w:t>
      </w:r>
    </w:p>
    <w:p xmlns:wp14="http://schemas.microsoft.com/office/word/2010/wordml" w:rsidR="006D682D" w:rsidRDefault="006D682D" w14:paraId="455DBE6B" wp14:textId="77777777">
      <w:pPr>
        <w:rPr>
          <w:sz w:val="24"/>
          <w:szCs w:val="24"/>
        </w:rPr>
      </w:pPr>
      <w:r>
        <w:rPr>
          <w:sz w:val="24"/>
          <w:szCs w:val="24"/>
        </w:rPr>
        <w:t>Citrate-calcium complexes are filtered away within the CRRT system, and therefore you should give additional calcium to the patient to correct for this.</w:t>
      </w:r>
      <w:r w:rsidR="00B14FE0">
        <w:rPr>
          <w:sz w:val="24"/>
          <w:szCs w:val="24"/>
        </w:rPr>
        <w:t xml:space="preserve"> ACCUSOL-35 has some calcium in it already to at least partially correct the citrate effect before the blood returns to the patient.</w:t>
      </w:r>
    </w:p>
    <w:p xmlns:wp14="http://schemas.microsoft.com/office/word/2010/wordml" w:rsidR="006D682D" w:rsidRDefault="006D682D" w14:paraId="6065B2AE" wp14:textId="77777777">
      <w:pPr>
        <w:rPr>
          <w:sz w:val="24"/>
          <w:szCs w:val="24"/>
        </w:rPr>
      </w:pPr>
      <w:r>
        <w:rPr>
          <w:sz w:val="24"/>
          <w:szCs w:val="24"/>
        </w:rPr>
        <w:t>Citrate is acidic, but when metabolised it generates bicarbonate. Therefore RCA can cause both acidosis and alkalosis.</w:t>
      </w:r>
    </w:p>
    <w:p xmlns:wp14="http://schemas.microsoft.com/office/word/2010/wordml" w:rsidR="006D682D" w:rsidRDefault="006D682D" w14:paraId="6DDA3497" wp14:textId="77777777">
      <w:pPr>
        <w:rPr>
          <w:sz w:val="24"/>
          <w:szCs w:val="24"/>
        </w:rPr>
      </w:pPr>
      <w:r>
        <w:rPr>
          <w:sz w:val="24"/>
          <w:szCs w:val="24"/>
        </w:rPr>
        <w:t xml:space="preserve">Citrate continues to bind calcium in the blood, until the citrate is metabolised through the Kreb’s cycle in mitochondria of </w:t>
      </w:r>
      <w:r w:rsidR="00425495">
        <w:rPr>
          <w:sz w:val="24"/>
          <w:szCs w:val="24"/>
        </w:rPr>
        <w:t>l</w:t>
      </w:r>
      <w:r>
        <w:rPr>
          <w:sz w:val="24"/>
          <w:szCs w:val="24"/>
        </w:rPr>
        <w:t>iver, muscle,</w:t>
      </w:r>
      <w:r w:rsidR="00AC41F1">
        <w:rPr>
          <w:sz w:val="24"/>
          <w:szCs w:val="24"/>
        </w:rPr>
        <w:t xml:space="preserve"> kidney</w:t>
      </w:r>
      <w:r>
        <w:rPr>
          <w:sz w:val="24"/>
          <w:szCs w:val="24"/>
        </w:rPr>
        <w:t xml:space="preserve"> etc. Once the citrate is metabolised, this calcium is once again measurable as ionized Calcium (iCa).</w:t>
      </w:r>
    </w:p>
    <w:p xmlns:wp14="http://schemas.microsoft.com/office/word/2010/wordml" w:rsidR="006D682D" w:rsidRDefault="006D682D" w14:paraId="0A37501D" wp14:textId="77777777">
      <w:pPr>
        <w:rPr>
          <w:sz w:val="24"/>
          <w:szCs w:val="24"/>
        </w:rPr>
      </w:pPr>
    </w:p>
    <w:p xmlns:wp14="http://schemas.microsoft.com/office/word/2010/wordml" w:rsidR="006D682D" w:rsidP="5390D18B" w:rsidRDefault="006D682D" w14:paraId="2887ECC1" wp14:textId="77777777">
      <w:pPr>
        <w:rPr>
          <w:b w:val="1"/>
          <w:bCs w:val="1"/>
          <w:sz w:val="24"/>
          <w:szCs w:val="24"/>
        </w:rPr>
      </w:pPr>
      <w:r w:rsidRPr="5390D18B" w:rsidR="006D682D">
        <w:rPr>
          <w:b w:val="1"/>
          <w:bCs w:val="1"/>
          <w:sz w:val="24"/>
          <w:szCs w:val="24"/>
        </w:rPr>
        <w:t>Common Problems</w:t>
      </w:r>
    </w:p>
    <w:p xmlns:wp14="http://schemas.microsoft.com/office/word/2010/wordml" w:rsidR="006D682D" w:rsidRDefault="006D682D" w14:paraId="0AD73620" wp14:textId="36632F14">
      <w:pPr>
        <w:rPr>
          <w:sz w:val="24"/>
          <w:szCs w:val="24"/>
        </w:rPr>
      </w:pPr>
      <w:r w:rsidRPr="5390D18B" w:rsidR="006D682D">
        <w:rPr>
          <w:b w:val="1"/>
          <w:bCs w:val="1"/>
          <w:sz w:val="24"/>
          <w:szCs w:val="24"/>
        </w:rPr>
        <w:t>Hypocalcaemia</w:t>
      </w:r>
      <w:r w:rsidRPr="5390D18B" w:rsidR="006D682D">
        <w:rPr>
          <w:sz w:val="24"/>
          <w:szCs w:val="24"/>
        </w:rPr>
        <w:t xml:space="preserve"> – there is loss of calcium in the CRRT circuit, and this must be replaced. The ACCUSOL-35 </w:t>
      </w:r>
      <w:r w:rsidRPr="5390D18B" w:rsidR="00AC41F1">
        <w:rPr>
          <w:sz w:val="24"/>
          <w:szCs w:val="24"/>
        </w:rPr>
        <w:t xml:space="preserve">substitution fluid </w:t>
      </w:r>
      <w:r w:rsidRPr="5390D18B" w:rsidR="006D682D">
        <w:rPr>
          <w:sz w:val="24"/>
          <w:szCs w:val="24"/>
        </w:rPr>
        <w:t xml:space="preserve">has some calcium already in it. Follow the protocol for calcium replacement (guided by </w:t>
      </w:r>
      <w:r w:rsidRPr="5390D18B" w:rsidR="006D682D">
        <w:rPr>
          <w:sz w:val="24"/>
          <w:szCs w:val="24"/>
        </w:rPr>
        <w:t>iCa</w:t>
      </w:r>
      <w:r w:rsidRPr="5390D18B" w:rsidR="006D682D">
        <w:rPr>
          <w:sz w:val="24"/>
          <w:szCs w:val="24"/>
        </w:rPr>
        <w:t xml:space="preserve"> </w:t>
      </w:r>
      <w:r w:rsidRPr="5390D18B" w:rsidR="00BC198B">
        <w:rPr>
          <w:sz w:val="24"/>
          <w:szCs w:val="24"/>
        </w:rPr>
        <w:t xml:space="preserve">results from the blood gas machine). The Aquarius software will automatically compensate the fluid removal volume for the </w:t>
      </w:r>
      <w:r w:rsidRPr="5390D18B" w:rsidR="00AC41F1">
        <w:rPr>
          <w:sz w:val="24"/>
          <w:szCs w:val="24"/>
        </w:rPr>
        <w:t xml:space="preserve">change in </w:t>
      </w:r>
      <w:r w:rsidRPr="5390D18B" w:rsidR="00BC198B">
        <w:rPr>
          <w:sz w:val="24"/>
          <w:szCs w:val="24"/>
        </w:rPr>
        <w:t xml:space="preserve">calcium </w:t>
      </w:r>
      <w:r w:rsidRPr="5390D18B" w:rsidR="00BC198B">
        <w:rPr>
          <w:sz w:val="24"/>
          <w:szCs w:val="24"/>
        </w:rPr>
        <w:t>infusion, and</w:t>
      </w:r>
      <w:r w:rsidRPr="5390D18B" w:rsidR="00BC198B">
        <w:rPr>
          <w:sz w:val="24"/>
          <w:szCs w:val="24"/>
        </w:rPr>
        <w:t xml:space="preserve"> deliver the fluid balance goal you have already set.</w:t>
      </w:r>
      <w:r w:rsidRPr="5390D18B" w:rsidR="5CF7299B">
        <w:rPr>
          <w:sz w:val="24"/>
          <w:szCs w:val="24"/>
        </w:rPr>
        <w:t xml:space="preserve"> If your patient is needing </w:t>
      </w:r>
      <w:r w:rsidRPr="5390D18B" w:rsidR="5CF7299B">
        <w:rPr>
          <w:sz w:val="24"/>
          <w:szCs w:val="24"/>
        </w:rPr>
        <w:t>large quantities</w:t>
      </w:r>
      <w:r w:rsidRPr="5390D18B" w:rsidR="5CF7299B">
        <w:rPr>
          <w:sz w:val="24"/>
          <w:szCs w:val="24"/>
        </w:rPr>
        <w:t xml:space="preserve"> of </w:t>
      </w:r>
      <w:r w:rsidRPr="5390D18B" w:rsidR="5CF7299B">
        <w:rPr>
          <w:sz w:val="24"/>
          <w:szCs w:val="24"/>
        </w:rPr>
        <w:t>additional</w:t>
      </w:r>
      <w:r w:rsidRPr="5390D18B" w:rsidR="5CF7299B">
        <w:rPr>
          <w:sz w:val="24"/>
          <w:szCs w:val="24"/>
        </w:rPr>
        <w:t xml:space="preserve"> calcium and has a worsening acidosis, consider whether they are </w:t>
      </w:r>
      <w:r w:rsidRPr="5390D18B" w:rsidR="5CF7299B">
        <w:rPr>
          <w:sz w:val="24"/>
          <w:szCs w:val="24"/>
        </w:rPr>
        <w:t>failing to metabolise</w:t>
      </w:r>
      <w:r w:rsidRPr="5390D18B" w:rsidR="5CF7299B">
        <w:rPr>
          <w:sz w:val="24"/>
          <w:szCs w:val="24"/>
        </w:rPr>
        <w:t xml:space="preserve"> citrate (see below)</w:t>
      </w:r>
    </w:p>
    <w:p xmlns:wp14="http://schemas.microsoft.com/office/word/2010/wordml" w:rsidR="00BC198B" w:rsidRDefault="00BC198B" w14:paraId="7CAE7CBF" wp14:textId="77777777">
      <w:pPr>
        <w:rPr>
          <w:sz w:val="24"/>
          <w:szCs w:val="24"/>
        </w:rPr>
      </w:pPr>
      <w:r w:rsidRPr="5390D18B" w:rsidR="00BC198B">
        <w:rPr>
          <w:b w:val="1"/>
          <w:bCs w:val="1"/>
          <w:sz w:val="24"/>
          <w:szCs w:val="24"/>
        </w:rPr>
        <w:t xml:space="preserve">Alkalosis </w:t>
      </w:r>
      <w:r w:rsidRPr="5390D18B" w:rsidR="00BC198B">
        <w:rPr>
          <w:sz w:val="24"/>
          <w:szCs w:val="24"/>
        </w:rPr>
        <w:t>– the citrate infused into the patient is being metabolised and generating bicarbonate. If the pH gets to 7.50 or the bicarbonate to 40 mmol/</w:t>
      </w:r>
      <w:r w:rsidRPr="5390D18B" w:rsidR="00BC198B">
        <w:rPr>
          <w:sz w:val="24"/>
          <w:szCs w:val="24"/>
        </w:rPr>
        <w:t>L</w:t>
      </w:r>
      <w:r w:rsidRPr="5390D18B" w:rsidR="00BC198B">
        <w:rPr>
          <w:sz w:val="24"/>
          <w:szCs w:val="24"/>
        </w:rPr>
        <w:t xml:space="preserve"> then you </w:t>
      </w:r>
      <w:r w:rsidRPr="5390D18B" w:rsidR="00AC41F1">
        <w:rPr>
          <w:sz w:val="24"/>
          <w:szCs w:val="24"/>
        </w:rPr>
        <w:t>should</w:t>
      </w:r>
      <w:r w:rsidRPr="5390D18B" w:rsidR="00BC198B">
        <w:rPr>
          <w:sz w:val="24"/>
          <w:szCs w:val="24"/>
        </w:rPr>
        <w:t xml:space="preserve"> act. The solution to the alkalosis is to lower the amount of citrate getting into the patient. To do this, swap from protocol 1 to protocol 2 (or if you were on protocol 3, change to protocol 1). Moving from protocol 1 to protocol 2 increases the amount of citrate removed within the </w:t>
      </w:r>
      <w:r w:rsidRPr="5390D18B" w:rsidR="00BC198B">
        <w:rPr>
          <w:sz w:val="24"/>
          <w:szCs w:val="24"/>
        </w:rPr>
        <w:t xml:space="preserve">CRRT circuit, and hence the flow of citrate to the patient, without </w:t>
      </w:r>
      <w:r w:rsidRPr="5390D18B" w:rsidR="00425495">
        <w:rPr>
          <w:sz w:val="24"/>
          <w:szCs w:val="24"/>
        </w:rPr>
        <w:t xml:space="preserve">hugely </w:t>
      </w:r>
      <w:r w:rsidRPr="5390D18B" w:rsidR="00BC198B">
        <w:rPr>
          <w:sz w:val="24"/>
          <w:szCs w:val="24"/>
        </w:rPr>
        <w:t xml:space="preserve">affecting the overall “dose” of renal replacement therapy. Moving from protocol 3 to protocol 2 reduces the amount of citrate that the patient receives by bringing down the blood and citrate flow rates and the “dose” of RRT. If the alkalosis does not improve despite being on Protocol 2, then </w:t>
      </w:r>
      <w:r w:rsidRPr="5390D18B" w:rsidR="00BC198B">
        <w:rPr>
          <w:sz w:val="24"/>
          <w:szCs w:val="24"/>
        </w:rPr>
        <w:t>discontinue</w:t>
      </w:r>
      <w:r w:rsidRPr="5390D18B" w:rsidR="00BC198B">
        <w:rPr>
          <w:sz w:val="24"/>
          <w:szCs w:val="24"/>
        </w:rPr>
        <w:t xml:space="preserve"> RCA.</w:t>
      </w:r>
    </w:p>
    <w:p xmlns:wp14="http://schemas.microsoft.com/office/word/2010/wordml" w:rsidR="00AC41F1" w:rsidRDefault="00BC198B" w14:paraId="1E40C42C" wp14:textId="522935E6">
      <w:pPr>
        <w:rPr>
          <w:sz w:val="24"/>
          <w:szCs w:val="24"/>
        </w:rPr>
      </w:pPr>
      <w:r w:rsidRPr="5390D18B" w:rsidR="00BC198B">
        <w:rPr>
          <w:b w:val="1"/>
          <w:bCs w:val="1"/>
          <w:sz w:val="24"/>
          <w:szCs w:val="24"/>
        </w:rPr>
        <w:t xml:space="preserve">Acidosis </w:t>
      </w:r>
      <w:r w:rsidRPr="5390D18B" w:rsidR="00BC198B">
        <w:rPr>
          <w:sz w:val="24"/>
          <w:szCs w:val="24"/>
        </w:rPr>
        <w:t xml:space="preserve">– remember that your patient may have many reasons for an acidosis already. However, the acidosis driven by RCA is a raised anion gap acidosis driven by failure to metabolise the delivered citrate. It is most likely to occur in those with </w:t>
      </w:r>
      <w:r w:rsidRPr="5390D18B" w:rsidR="00AC41F1">
        <w:rPr>
          <w:sz w:val="24"/>
          <w:szCs w:val="24"/>
        </w:rPr>
        <w:t>severe shock</w:t>
      </w:r>
      <w:r w:rsidRPr="5390D18B" w:rsidR="00BC198B">
        <w:rPr>
          <w:sz w:val="24"/>
          <w:szCs w:val="24"/>
        </w:rPr>
        <w:t xml:space="preserve"> </w:t>
      </w:r>
      <w:r w:rsidRPr="5390D18B" w:rsidR="00AC41F1">
        <w:rPr>
          <w:sz w:val="24"/>
          <w:szCs w:val="24"/>
        </w:rPr>
        <w:t>or</w:t>
      </w:r>
      <w:r w:rsidRPr="5390D18B" w:rsidR="00BC198B">
        <w:rPr>
          <w:sz w:val="24"/>
          <w:szCs w:val="24"/>
        </w:rPr>
        <w:t xml:space="preserve"> severe </w:t>
      </w:r>
      <w:r w:rsidRPr="5390D18B" w:rsidR="00AC41F1">
        <w:rPr>
          <w:sz w:val="24"/>
          <w:szCs w:val="24"/>
        </w:rPr>
        <w:t xml:space="preserve">acute </w:t>
      </w:r>
      <w:r w:rsidRPr="5390D18B" w:rsidR="00BC198B">
        <w:rPr>
          <w:sz w:val="24"/>
          <w:szCs w:val="24"/>
        </w:rPr>
        <w:t>liver failure.</w:t>
      </w:r>
      <w:r w:rsidRPr="5390D18B" w:rsidR="00885DA8">
        <w:rPr>
          <w:sz w:val="24"/>
          <w:szCs w:val="24"/>
        </w:rPr>
        <w:t xml:space="preserve"> In addition, patients with poisonings which either affect mitochondrial function (</w:t>
      </w:r>
      <w:r w:rsidRPr="5390D18B" w:rsidR="00885DA8">
        <w:rPr>
          <w:sz w:val="24"/>
          <w:szCs w:val="24"/>
        </w:rPr>
        <w:t>e.g.</w:t>
      </w:r>
      <w:r w:rsidRPr="5390D18B" w:rsidR="00885DA8">
        <w:rPr>
          <w:sz w:val="24"/>
          <w:szCs w:val="24"/>
        </w:rPr>
        <w:t xml:space="preserve"> ethylene glycol</w:t>
      </w:r>
      <w:r w:rsidRPr="5390D18B" w:rsidR="00AC41F1">
        <w:rPr>
          <w:sz w:val="24"/>
          <w:szCs w:val="24"/>
        </w:rPr>
        <w:t xml:space="preserve"> or cyanide) </w:t>
      </w:r>
      <w:r w:rsidRPr="5390D18B" w:rsidR="00885DA8">
        <w:rPr>
          <w:sz w:val="24"/>
          <w:szCs w:val="24"/>
        </w:rPr>
        <w:t>or cause combined muscle, renal and liver injuries</w:t>
      </w:r>
      <w:r w:rsidRPr="5390D18B" w:rsidR="00BC198B">
        <w:rPr>
          <w:sz w:val="24"/>
          <w:szCs w:val="24"/>
        </w:rPr>
        <w:t xml:space="preserve"> </w:t>
      </w:r>
      <w:r w:rsidRPr="5390D18B" w:rsidR="00AC41F1">
        <w:rPr>
          <w:sz w:val="24"/>
          <w:szCs w:val="24"/>
        </w:rPr>
        <w:t>(</w:t>
      </w:r>
      <w:r w:rsidRPr="5390D18B" w:rsidR="00AC41F1">
        <w:rPr>
          <w:sz w:val="24"/>
          <w:szCs w:val="24"/>
        </w:rPr>
        <w:t>e.g.</w:t>
      </w:r>
      <w:r w:rsidRPr="5390D18B" w:rsidR="00AC41F1">
        <w:rPr>
          <w:sz w:val="24"/>
          <w:szCs w:val="24"/>
        </w:rPr>
        <w:t xml:space="preserve"> amphetamines or heat-injury</w:t>
      </w:r>
      <w:r w:rsidRPr="5390D18B" w:rsidR="00AC41F1">
        <w:rPr>
          <w:sz w:val="24"/>
          <w:szCs w:val="24"/>
        </w:rPr>
        <w:t>), or</w:t>
      </w:r>
      <w:r w:rsidRPr="5390D18B" w:rsidR="00AC41F1">
        <w:rPr>
          <w:sz w:val="24"/>
          <w:szCs w:val="24"/>
        </w:rPr>
        <w:t xml:space="preserve"> with underlying mitochondrial disease or taking medications which affect mitochondrial function (</w:t>
      </w:r>
      <w:r w:rsidRPr="5390D18B" w:rsidR="00AC41F1">
        <w:rPr>
          <w:sz w:val="24"/>
          <w:szCs w:val="24"/>
        </w:rPr>
        <w:t>e.g.</w:t>
      </w:r>
      <w:r w:rsidRPr="5390D18B" w:rsidR="00AC41F1">
        <w:rPr>
          <w:sz w:val="24"/>
          <w:szCs w:val="24"/>
        </w:rPr>
        <w:t xml:space="preserve"> certain anti-</w:t>
      </w:r>
      <w:r w:rsidRPr="5390D18B" w:rsidR="00AC41F1">
        <w:rPr>
          <w:sz w:val="24"/>
          <w:szCs w:val="24"/>
        </w:rPr>
        <w:t>retrovirals</w:t>
      </w:r>
      <w:r w:rsidRPr="5390D18B" w:rsidR="00AC41F1">
        <w:rPr>
          <w:sz w:val="24"/>
          <w:szCs w:val="24"/>
        </w:rPr>
        <w:t>), may be predisposed to citrate toxicity.</w:t>
      </w:r>
    </w:p>
    <w:p xmlns:wp14="http://schemas.microsoft.com/office/word/2010/wordml" w:rsidR="00BC198B" w:rsidRDefault="00885DA8" w14:paraId="6C757EFB" wp14:textId="52AF8038">
      <w:pPr>
        <w:rPr>
          <w:sz w:val="24"/>
          <w:szCs w:val="24"/>
        </w:rPr>
      </w:pPr>
      <w:r w:rsidRPr="5390D18B" w:rsidR="00885DA8">
        <w:rPr>
          <w:sz w:val="24"/>
          <w:szCs w:val="24"/>
        </w:rPr>
        <w:t>If</w:t>
      </w:r>
      <w:r w:rsidRPr="5390D18B" w:rsidR="00BC198B">
        <w:rPr>
          <w:sz w:val="24"/>
          <w:szCs w:val="24"/>
        </w:rPr>
        <w:t xml:space="preserve"> there is an excess </w:t>
      </w:r>
      <w:r w:rsidRPr="5390D18B" w:rsidR="0BA2B360">
        <w:rPr>
          <w:sz w:val="24"/>
          <w:szCs w:val="24"/>
        </w:rPr>
        <w:t xml:space="preserve">of </w:t>
      </w:r>
      <w:r w:rsidRPr="5390D18B" w:rsidR="00BC198B">
        <w:rPr>
          <w:sz w:val="24"/>
          <w:szCs w:val="24"/>
        </w:rPr>
        <w:t>un</w:t>
      </w:r>
      <w:r w:rsidRPr="5390D18B" w:rsidR="00BC198B">
        <w:rPr>
          <w:sz w:val="24"/>
          <w:szCs w:val="24"/>
        </w:rPr>
        <w:t>metabolised</w:t>
      </w:r>
      <w:r w:rsidRPr="5390D18B" w:rsidR="00BC198B">
        <w:rPr>
          <w:sz w:val="24"/>
          <w:szCs w:val="24"/>
        </w:rPr>
        <w:t xml:space="preserve"> citrate, there will be reduction in ionized calcium. You may have </w:t>
      </w:r>
      <w:r w:rsidRPr="5390D18B" w:rsidR="79775477">
        <w:rPr>
          <w:sz w:val="24"/>
          <w:szCs w:val="24"/>
        </w:rPr>
        <w:t xml:space="preserve">had to repeatedly </w:t>
      </w:r>
      <w:r w:rsidRPr="5390D18B" w:rsidR="00BC198B">
        <w:rPr>
          <w:sz w:val="24"/>
          <w:szCs w:val="24"/>
        </w:rPr>
        <w:t xml:space="preserve">correct this with increasing volumes </w:t>
      </w:r>
      <w:r w:rsidRPr="5390D18B" w:rsidR="00885DA8">
        <w:rPr>
          <w:sz w:val="24"/>
          <w:szCs w:val="24"/>
        </w:rPr>
        <w:t>of calcium replacement solution;</w:t>
      </w:r>
      <w:r w:rsidRPr="5390D18B" w:rsidR="00BC198B">
        <w:rPr>
          <w:sz w:val="24"/>
          <w:szCs w:val="24"/>
        </w:rPr>
        <w:t xml:space="preserve"> </w:t>
      </w:r>
      <w:r w:rsidRPr="5390D18B" w:rsidR="00885DA8">
        <w:rPr>
          <w:sz w:val="24"/>
          <w:szCs w:val="24"/>
        </w:rPr>
        <w:t xml:space="preserve">although the </w:t>
      </w:r>
      <w:r w:rsidRPr="5390D18B" w:rsidR="00885DA8">
        <w:rPr>
          <w:sz w:val="24"/>
          <w:szCs w:val="24"/>
        </w:rPr>
        <w:t>iCa</w:t>
      </w:r>
      <w:r w:rsidRPr="5390D18B" w:rsidR="00885DA8">
        <w:rPr>
          <w:sz w:val="24"/>
          <w:szCs w:val="24"/>
        </w:rPr>
        <w:t xml:space="preserve"> may be correcting, your patient </w:t>
      </w:r>
      <w:r w:rsidRPr="5390D18B" w:rsidR="6512C1B6">
        <w:rPr>
          <w:sz w:val="24"/>
          <w:szCs w:val="24"/>
        </w:rPr>
        <w:t>could</w:t>
      </w:r>
      <w:r w:rsidRPr="5390D18B" w:rsidR="00885DA8">
        <w:rPr>
          <w:sz w:val="24"/>
          <w:szCs w:val="24"/>
        </w:rPr>
        <w:t xml:space="preserve"> now have a raised total blood calcium (</w:t>
      </w:r>
      <w:r w:rsidRPr="5390D18B" w:rsidR="15B0B0C6">
        <w:rPr>
          <w:sz w:val="24"/>
          <w:szCs w:val="24"/>
        </w:rPr>
        <w:t xml:space="preserve">the sum of </w:t>
      </w:r>
      <w:r w:rsidRPr="5390D18B" w:rsidR="00885DA8">
        <w:rPr>
          <w:sz w:val="24"/>
          <w:szCs w:val="24"/>
        </w:rPr>
        <w:t xml:space="preserve">free ionized calcium, protein bound calcium, and now citrate-chelated calcium too). Compare the total serum calcium (NB NOT the adjusted or corrected calcium, but the total calcium from the laboratory sample) to the ionized calcium on the blood gas sample. If the ratio between the two is greater than 2.5, then this is consistent with excess </w:t>
      </w:r>
      <w:r w:rsidRPr="5390D18B" w:rsidR="00885DA8">
        <w:rPr>
          <w:sz w:val="24"/>
          <w:szCs w:val="24"/>
        </w:rPr>
        <w:t>unmetabolised</w:t>
      </w:r>
      <w:r w:rsidRPr="5390D18B" w:rsidR="00885DA8">
        <w:rPr>
          <w:sz w:val="24"/>
          <w:szCs w:val="24"/>
        </w:rPr>
        <w:t xml:space="preserve"> citrate. To treat citrate-driven acidosis, reduce the systemic citrate delivery in the same way that alkalosis is managed (see above). However, given the patient may have severe underlying acute illness, be prepared to cease RCA-based CRRT and use another anticoagulation choice. </w:t>
      </w:r>
    </w:p>
    <w:p xmlns:wp14="http://schemas.microsoft.com/office/word/2010/wordml" w:rsidR="00885DA8" w:rsidRDefault="00885DA8" w14:paraId="5DAB6C7B" wp14:textId="77777777">
      <w:pPr>
        <w:rPr>
          <w:sz w:val="24"/>
          <w:szCs w:val="24"/>
        </w:rPr>
      </w:pPr>
    </w:p>
    <w:p xmlns:wp14="http://schemas.microsoft.com/office/word/2010/wordml" w:rsidRPr="006D682D" w:rsidR="00BC198B" w:rsidRDefault="00BC198B" w14:paraId="02EB378F" wp14:textId="77777777">
      <w:pPr>
        <w:rPr>
          <w:sz w:val="24"/>
          <w:szCs w:val="24"/>
        </w:rPr>
      </w:pPr>
    </w:p>
    <w:sectPr w:rsidRPr="006D682D" w:rsidR="00BC198B" w:rsidSect="004C394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20"/>
  <w:trackRevisions w:val="false"/>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82D"/>
    <w:rsid w:val="000A22EB"/>
    <w:rsid w:val="000C4491"/>
    <w:rsid w:val="000F5D73"/>
    <w:rsid w:val="00425495"/>
    <w:rsid w:val="00480953"/>
    <w:rsid w:val="004C3947"/>
    <w:rsid w:val="00673D04"/>
    <w:rsid w:val="006D682D"/>
    <w:rsid w:val="00885DA8"/>
    <w:rsid w:val="009C2E6B"/>
    <w:rsid w:val="00A903A8"/>
    <w:rsid w:val="00AC41F1"/>
    <w:rsid w:val="00B14FE0"/>
    <w:rsid w:val="00BC198B"/>
    <w:rsid w:val="03ECA1B5"/>
    <w:rsid w:val="0BA2B360"/>
    <w:rsid w:val="12B5CCBD"/>
    <w:rsid w:val="140AB305"/>
    <w:rsid w:val="15B0B0C6"/>
    <w:rsid w:val="2D04BCE2"/>
    <w:rsid w:val="2EA08D43"/>
    <w:rsid w:val="3289EF61"/>
    <w:rsid w:val="34F86CD2"/>
    <w:rsid w:val="35C19023"/>
    <w:rsid w:val="410F970E"/>
    <w:rsid w:val="505930C9"/>
    <w:rsid w:val="5390D18B"/>
    <w:rsid w:val="5CF7299B"/>
    <w:rsid w:val="6512C1B6"/>
    <w:rsid w:val="72083F55"/>
    <w:rsid w:val="79775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8DE5E"/>
  <w15:docId w15:val="{754F1E39-3559-486C-AF81-664B3CC2BC1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C1AD9EFC3A7040A3391F0194E845FC" ma:contentTypeVersion="17" ma:contentTypeDescription="Create a new document." ma:contentTypeScope="" ma:versionID="75028fa4fd51de246d694aa62dfc93cc">
  <xsd:schema xmlns:xsd="http://www.w3.org/2001/XMLSchema" xmlns:xs="http://www.w3.org/2001/XMLSchema" xmlns:p="http://schemas.microsoft.com/office/2006/metadata/properties" xmlns:ns1="http://schemas.microsoft.com/sharepoint/v3" xmlns:ns2="2cc4b515-3970-43ef-9a7c-4119fde8ecce" xmlns:ns3="d3456422-b918-4a29-a00d-3a4839c1d929" targetNamespace="http://schemas.microsoft.com/office/2006/metadata/properties" ma:root="true" ma:fieldsID="d29e3511daf7f05da47172ea534c9a67" ns1:_="" ns2:_="" ns3:_="">
    <xsd:import namespace="http://schemas.microsoft.com/sharepoint/v3"/>
    <xsd:import namespace="2cc4b515-3970-43ef-9a7c-4119fde8ecce"/>
    <xsd:import namespace="d3456422-b918-4a29-a00d-3a4839c1d9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c4b515-3970-43ef-9a7c-4119fde8e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Notes" ma:index="23"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456422-b918-4a29-a00d-3a4839c1d92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8137274-6213-47b4-9fa6-04e0ddcc88f4}" ma:internalName="TaxCatchAll" ma:showField="CatchAllData" ma:web="d3456422-b918-4a29-a00d-3a4839c1d92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2cc4b515-3970-43ef-9a7c-4119fde8ecce">
      <Terms xmlns="http://schemas.microsoft.com/office/infopath/2007/PartnerControls"/>
    </lcf76f155ced4ddcb4097134ff3c332f>
    <TaxCatchAll xmlns="d3456422-b918-4a29-a00d-3a4839c1d929" xsi:nil="true"/>
    <_ip_UnifiedCompliancePolicyProperties xmlns="http://schemas.microsoft.com/sharepoint/v3" xsi:nil="true"/>
    <Notes xmlns="2cc4b515-3970-43ef-9a7c-4119fde8ecce" xsi:nil="true"/>
  </documentManagement>
</p:properties>
</file>

<file path=customXml/itemProps1.xml><?xml version="1.0" encoding="utf-8"?>
<ds:datastoreItem xmlns:ds="http://schemas.openxmlformats.org/officeDocument/2006/customXml" ds:itemID="{CA744EAD-90EF-4543-B0EC-41916C1AC04D}"/>
</file>

<file path=customXml/itemProps2.xml><?xml version="1.0" encoding="utf-8"?>
<ds:datastoreItem xmlns:ds="http://schemas.openxmlformats.org/officeDocument/2006/customXml" ds:itemID="{EC899DA5-0F62-492A-9036-CDB7ECAA6421}"/>
</file>

<file path=customXml/itemProps3.xml><?xml version="1.0" encoding="utf-8"?>
<ds:datastoreItem xmlns:ds="http://schemas.openxmlformats.org/officeDocument/2006/customXml" ds:itemID="{BC6250DD-B0AD-41F3-9B95-D85A295163D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Brighton &amp; Sussex University Hospitals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HARRISON, Alex (UNIVERSITY HOSPITALS SUSSEX NHS FOUNDATION TRUST)</cp:lastModifiedBy>
  <cp:revision>3</cp:revision>
  <dcterms:created xsi:type="dcterms:W3CDTF">2017-11-22T12:23:00Z</dcterms:created>
  <dcterms:modified xsi:type="dcterms:W3CDTF">2023-09-01T14:31:27Z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0x010100C5C1AD9EFC3A7040A3391F0194E845FC</vt:lpwstr>
  </property>
  <property fmtid="{D5CDD505-2E9C-101B-9397-08002B2CF9AE}" pid="3" name="Order">
    <vt:r8>73400</vt:r8>
  </property>
  <property fmtid="{D5CDD505-2E9C-101B-9397-08002B2CF9AE}" pid="4" name="MediaServiceImageTags">
    <vt:lpwstr/>
  </property>
</Properties>
</file>