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8A66" w14:textId="77777777" w:rsidR="00207754" w:rsidRDefault="00893F6D" w:rsidP="00DD5639">
      <w:pPr>
        <w:pStyle w:val="ListParagraph"/>
        <w:ind w:left="0"/>
        <w:jc w:val="center"/>
        <w:rPr>
          <w:b/>
          <w:sz w:val="28"/>
          <w:szCs w:val="28"/>
        </w:rPr>
      </w:pPr>
      <w:r>
        <w:rPr>
          <w:b/>
          <w:sz w:val="28"/>
          <w:szCs w:val="28"/>
        </w:rPr>
        <w:t>Guidelines for use of</w:t>
      </w:r>
      <w:r w:rsidR="000E50C5" w:rsidRPr="00694116">
        <w:rPr>
          <w:b/>
          <w:sz w:val="28"/>
          <w:szCs w:val="28"/>
        </w:rPr>
        <w:t xml:space="preserve"> </w:t>
      </w:r>
      <w:r>
        <w:rPr>
          <w:b/>
          <w:sz w:val="28"/>
          <w:szCs w:val="28"/>
        </w:rPr>
        <w:t>S</w:t>
      </w:r>
      <w:r w:rsidR="000E50C5" w:rsidRPr="00694116">
        <w:rPr>
          <w:b/>
          <w:sz w:val="28"/>
          <w:szCs w:val="28"/>
        </w:rPr>
        <w:t xml:space="preserve">odium </w:t>
      </w:r>
      <w:r>
        <w:rPr>
          <w:b/>
          <w:sz w:val="28"/>
          <w:szCs w:val="28"/>
        </w:rPr>
        <w:t xml:space="preserve">Thiosulphate for </w:t>
      </w:r>
      <w:r w:rsidR="00A166CB">
        <w:rPr>
          <w:b/>
          <w:sz w:val="28"/>
          <w:szCs w:val="28"/>
        </w:rPr>
        <w:t xml:space="preserve">Adults Patients with </w:t>
      </w:r>
      <w:r>
        <w:rPr>
          <w:b/>
          <w:sz w:val="28"/>
          <w:szCs w:val="28"/>
        </w:rPr>
        <w:t>C</w:t>
      </w:r>
      <w:r w:rsidR="000E50C5" w:rsidRPr="00694116">
        <w:rPr>
          <w:b/>
          <w:sz w:val="28"/>
          <w:szCs w:val="28"/>
        </w:rPr>
        <w:t>alciphylaxis</w:t>
      </w:r>
      <w:r w:rsidR="00207754">
        <w:rPr>
          <w:b/>
          <w:sz w:val="28"/>
          <w:szCs w:val="28"/>
        </w:rPr>
        <w:t xml:space="preserve"> </w:t>
      </w:r>
    </w:p>
    <w:p w14:paraId="0E511AB6" w14:textId="77777777" w:rsidR="008E7155" w:rsidRPr="00694116" w:rsidRDefault="00207754" w:rsidP="00DD5639">
      <w:pPr>
        <w:pStyle w:val="ListParagraph"/>
        <w:ind w:left="0"/>
        <w:jc w:val="center"/>
        <w:rPr>
          <w:b/>
          <w:sz w:val="28"/>
          <w:szCs w:val="28"/>
        </w:rPr>
      </w:pPr>
      <w:r>
        <w:rPr>
          <w:b/>
          <w:sz w:val="28"/>
          <w:szCs w:val="28"/>
        </w:rPr>
        <w:t>for Sussex Kidney Unit</w:t>
      </w:r>
      <w:r w:rsidR="00A166CB">
        <w:rPr>
          <w:b/>
          <w:sz w:val="28"/>
          <w:szCs w:val="28"/>
        </w:rPr>
        <w:t xml:space="preserve"> Use Only</w:t>
      </w:r>
    </w:p>
    <w:p w14:paraId="587A7FAD" w14:textId="77777777" w:rsidR="000E50C5" w:rsidRPr="008E7155" w:rsidRDefault="000E50C5" w:rsidP="008E7155">
      <w:pPr>
        <w:pStyle w:val="ListParagraph"/>
        <w:rPr>
          <w:sz w:val="24"/>
        </w:rPr>
      </w:pPr>
    </w:p>
    <w:p w14:paraId="6E80EC3B" w14:textId="77777777" w:rsidR="00893F6D" w:rsidRDefault="00893F6D" w:rsidP="00DD5639">
      <w:pPr>
        <w:pStyle w:val="ListParagraph"/>
        <w:ind w:left="0"/>
        <w:rPr>
          <w:b/>
          <w:sz w:val="24"/>
          <w:u w:val="single"/>
        </w:rPr>
      </w:pPr>
      <w:r>
        <w:rPr>
          <w:b/>
          <w:sz w:val="24"/>
          <w:u w:val="single"/>
        </w:rPr>
        <w:t>Aim and purpose of guideline</w:t>
      </w:r>
    </w:p>
    <w:p w14:paraId="62F39236" w14:textId="77777777" w:rsidR="00893F6D" w:rsidRPr="005F3E44" w:rsidRDefault="00207754" w:rsidP="00DD5639">
      <w:pPr>
        <w:pStyle w:val="ListParagraph"/>
        <w:ind w:left="0"/>
      </w:pPr>
      <w:r>
        <w:t>P</w:t>
      </w:r>
      <w:r w:rsidR="00893F6D" w:rsidRPr="005F3E44">
        <w:t>rovide recommendations on the management of patien</w:t>
      </w:r>
      <w:r>
        <w:t>ts affected by calciphylaxis</w:t>
      </w:r>
      <w:r w:rsidR="00893F6D" w:rsidRPr="005F3E44">
        <w:t xml:space="preserve"> treated with Sodium Thiosulfate.</w:t>
      </w:r>
    </w:p>
    <w:p w14:paraId="353D0858" w14:textId="77777777" w:rsidR="00893F6D" w:rsidRDefault="00893F6D" w:rsidP="00DD5639">
      <w:pPr>
        <w:pStyle w:val="ListParagraph"/>
        <w:ind w:left="0"/>
        <w:rPr>
          <w:b/>
          <w:sz w:val="24"/>
          <w:u w:val="single"/>
        </w:rPr>
      </w:pPr>
    </w:p>
    <w:p w14:paraId="0175F2F0" w14:textId="77777777" w:rsidR="00893F6D" w:rsidRPr="00893F6D" w:rsidRDefault="00893F6D" w:rsidP="00DD5639">
      <w:pPr>
        <w:pStyle w:val="ListParagraph"/>
        <w:ind w:left="0"/>
        <w:rPr>
          <w:b/>
          <w:sz w:val="24"/>
          <w:u w:val="single"/>
        </w:rPr>
      </w:pPr>
      <w:r w:rsidRPr="00893F6D">
        <w:rPr>
          <w:b/>
          <w:sz w:val="24"/>
          <w:u w:val="single"/>
        </w:rPr>
        <w:t>Introduction</w:t>
      </w:r>
    </w:p>
    <w:p w14:paraId="24F581EF" w14:textId="77777777" w:rsidR="00893F6D" w:rsidRPr="005F3E44" w:rsidRDefault="00893F6D" w:rsidP="00DD5639">
      <w:pPr>
        <w:pStyle w:val="ListParagraph"/>
        <w:ind w:left="0"/>
      </w:pPr>
      <w:r w:rsidRPr="005F3E44">
        <w:t>Calciphylaxis is a rare condition in which calcium accumulates in small blood vessels and results in painful ulceration of the skin which in turn can cause infection and further damage to tissues. The causes remain poorly understood and treatment options aim to control symptoms.</w:t>
      </w:r>
    </w:p>
    <w:p w14:paraId="79866FC2" w14:textId="77777777" w:rsidR="00893F6D" w:rsidRPr="005F3E44" w:rsidRDefault="00893F6D" w:rsidP="00DD5639">
      <w:pPr>
        <w:pStyle w:val="ListParagraph"/>
        <w:ind w:left="0"/>
      </w:pPr>
      <w:r w:rsidRPr="005F3E44">
        <w:t xml:space="preserve">Diagnosis is predominantly clinical and might include a skin biopsy. Skin biopsy can also be associated with the development of new non-healing, painful ulcers therefore it is not always recommended. </w:t>
      </w:r>
    </w:p>
    <w:p w14:paraId="357A6B30" w14:textId="77777777" w:rsidR="00893F6D" w:rsidRPr="005F3E44" w:rsidRDefault="00893F6D" w:rsidP="00DD5639">
      <w:pPr>
        <w:pStyle w:val="ListParagraph"/>
        <w:ind w:left="0"/>
      </w:pPr>
      <w:r w:rsidRPr="005F3E44">
        <w:t xml:space="preserve">Calciphylaxis should be considered in all patients presenting with lesions with the following features: </w:t>
      </w:r>
    </w:p>
    <w:p w14:paraId="346EDC7E" w14:textId="77777777" w:rsidR="00893F6D" w:rsidRPr="005F3E44" w:rsidRDefault="00893F6D" w:rsidP="00893F6D">
      <w:pPr>
        <w:pStyle w:val="ListParagraph"/>
        <w:numPr>
          <w:ilvl w:val="0"/>
          <w:numId w:val="2"/>
        </w:numPr>
      </w:pPr>
      <w:r w:rsidRPr="005F3E44">
        <w:t>Tender indurated plaques or livedo reticularis</w:t>
      </w:r>
    </w:p>
    <w:p w14:paraId="1C0D8F43" w14:textId="77777777" w:rsidR="00893F6D" w:rsidRPr="005F3E44" w:rsidRDefault="00893F6D" w:rsidP="00893F6D">
      <w:pPr>
        <w:pStyle w:val="ListParagraph"/>
        <w:numPr>
          <w:ilvl w:val="0"/>
          <w:numId w:val="2"/>
        </w:numPr>
      </w:pPr>
      <w:r w:rsidRPr="005F3E44">
        <w:t>Palpable subcutaneous deposits (calcium)</w:t>
      </w:r>
    </w:p>
    <w:p w14:paraId="4F3DCDBD" w14:textId="77777777" w:rsidR="00893F6D" w:rsidRPr="005F3E44" w:rsidRDefault="00893F6D" w:rsidP="00893F6D">
      <w:pPr>
        <w:pStyle w:val="ListParagraph"/>
        <w:numPr>
          <w:ilvl w:val="0"/>
          <w:numId w:val="2"/>
        </w:numPr>
      </w:pPr>
      <w:r w:rsidRPr="005F3E44">
        <w:t>Surrounding pallor or ecchymosis and associated hyperesthesia</w:t>
      </w:r>
    </w:p>
    <w:p w14:paraId="110AA1AE" w14:textId="77777777" w:rsidR="00893F6D" w:rsidRPr="005F3E44" w:rsidRDefault="00893F6D" w:rsidP="00893F6D">
      <w:pPr>
        <w:pStyle w:val="ListParagraph"/>
        <w:numPr>
          <w:ilvl w:val="0"/>
          <w:numId w:val="2"/>
        </w:numPr>
      </w:pPr>
      <w:r w:rsidRPr="005F3E44">
        <w:t>Severe pain (often disproportionate to the appearance of the lesion)</w:t>
      </w:r>
    </w:p>
    <w:p w14:paraId="5FE957C4" w14:textId="77777777" w:rsidR="00893F6D" w:rsidRPr="005F3E44" w:rsidRDefault="00893F6D" w:rsidP="00893F6D">
      <w:pPr>
        <w:pStyle w:val="ListParagraph"/>
        <w:numPr>
          <w:ilvl w:val="0"/>
          <w:numId w:val="2"/>
        </w:numPr>
      </w:pPr>
      <w:r w:rsidRPr="005F3E44">
        <w:t>Ulceration is a late presentation.</w:t>
      </w:r>
    </w:p>
    <w:p w14:paraId="15D8E5F4" w14:textId="77777777" w:rsidR="00893F6D" w:rsidRDefault="00893F6D" w:rsidP="00DD5639">
      <w:pPr>
        <w:pStyle w:val="ListParagraph"/>
        <w:ind w:left="0"/>
        <w:rPr>
          <w:sz w:val="24"/>
        </w:rPr>
      </w:pPr>
    </w:p>
    <w:p w14:paraId="3CFA7CC2" w14:textId="77777777" w:rsidR="00893F6D" w:rsidRPr="00893F6D" w:rsidRDefault="00893F6D" w:rsidP="00DD5639">
      <w:pPr>
        <w:pStyle w:val="ListParagraph"/>
        <w:ind w:left="0"/>
        <w:rPr>
          <w:b/>
          <w:sz w:val="24"/>
          <w:u w:val="single"/>
        </w:rPr>
      </w:pPr>
      <w:r w:rsidRPr="00893F6D">
        <w:rPr>
          <w:b/>
          <w:sz w:val="24"/>
          <w:u w:val="single"/>
        </w:rPr>
        <w:t>Management</w:t>
      </w:r>
    </w:p>
    <w:p w14:paraId="70910460" w14:textId="77777777" w:rsidR="00893F6D" w:rsidRPr="005F3E44" w:rsidRDefault="00893F6D" w:rsidP="00DD5639">
      <w:pPr>
        <w:pStyle w:val="ListParagraph"/>
        <w:ind w:left="0"/>
      </w:pPr>
      <w:r w:rsidRPr="005F3E44">
        <w:t>There are no national or international guidelines available for the management of calciphylaxis. Management should be individualised dependent upon the patient’s circumstances. Supportive therapy including pain relief, referral to Tissue Viability teams and avoidance of subcutaneous injections should be offered to all. All the exacerbating factors depending on individual should also be reduced. These include:</w:t>
      </w:r>
    </w:p>
    <w:p w14:paraId="0661D848" w14:textId="77777777" w:rsidR="00893F6D" w:rsidRPr="005F3E44" w:rsidRDefault="00893F6D" w:rsidP="00893F6D">
      <w:pPr>
        <w:pStyle w:val="ListParagraph"/>
        <w:numPr>
          <w:ilvl w:val="0"/>
          <w:numId w:val="3"/>
        </w:numPr>
      </w:pPr>
      <w:r w:rsidRPr="005F3E44">
        <w:t>Vitamin K antagonists – consider anticoagulation alternatives if appropriate.</w:t>
      </w:r>
    </w:p>
    <w:p w14:paraId="72B2E9F1" w14:textId="77777777" w:rsidR="00893F6D" w:rsidRPr="005F3E44" w:rsidRDefault="00893F6D" w:rsidP="00893F6D">
      <w:pPr>
        <w:pStyle w:val="ListParagraph"/>
        <w:numPr>
          <w:ilvl w:val="0"/>
          <w:numId w:val="3"/>
        </w:numPr>
      </w:pPr>
      <w:r w:rsidRPr="005F3E44">
        <w:t>Infection and inflammatory conditions – treat when appropriate.</w:t>
      </w:r>
    </w:p>
    <w:p w14:paraId="54C5ADB3" w14:textId="77777777" w:rsidR="00893F6D" w:rsidRPr="005F3E44" w:rsidRDefault="00893F6D" w:rsidP="00893F6D">
      <w:pPr>
        <w:pStyle w:val="ListParagraph"/>
        <w:numPr>
          <w:ilvl w:val="0"/>
          <w:numId w:val="3"/>
        </w:numPr>
      </w:pPr>
      <w:r w:rsidRPr="005F3E44">
        <w:t>Phosphate, calcium and PTH – optimise management by avoiding the use of calcium-based phosphate binders, vitamin D and calcium supplements and consider starting cinacalcet or etelcalcetide</w:t>
      </w:r>
    </w:p>
    <w:p w14:paraId="3EA57C47" w14:textId="77777777" w:rsidR="00893F6D" w:rsidRPr="005F3E44" w:rsidRDefault="00893F6D" w:rsidP="00893F6D">
      <w:pPr>
        <w:pStyle w:val="ListParagraph"/>
        <w:numPr>
          <w:ilvl w:val="0"/>
          <w:numId w:val="3"/>
        </w:numPr>
      </w:pPr>
      <w:r w:rsidRPr="005F3E44">
        <w:t>Haemodialysis – consi</w:t>
      </w:r>
      <w:r w:rsidR="00003815">
        <w:t>der increasing frequency</w:t>
      </w:r>
      <w:r w:rsidRPr="005F3E44">
        <w:t xml:space="preserve"> and use of low calcium dialysate.</w:t>
      </w:r>
    </w:p>
    <w:p w14:paraId="6D9D77DF" w14:textId="77777777" w:rsidR="00003815" w:rsidRDefault="00003815" w:rsidP="00DD5639">
      <w:pPr>
        <w:pStyle w:val="ListParagraph"/>
        <w:ind w:left="0"/>
      </w:pPr>
    </w:p>
    <w:p w14:paraId="4D0C9C2C" w14:textId="77777777" w:rsidR="008E7155" w:rsidRPr="008E7155" w:rsidRDefault="008E7155" w:rsidP="00DD5639">
      <w:pPr>
        <w:pStyle w:val="ListParagraph"/>
        <w:ind w:left="0"/>
        <w:rPr>
          <w:sz w:val="24"/>
        </w:rPr>
      </w:pPr>
      <w:r w:rsidRPr="005F3E44">
        <w:t xml:space="preserve">Administration of </w:t>
      </w:r>
      <w:r w:rsidRPr="005F3E44">
        <w:rPr>
          <w:u w:val="single"/>
        </w:rPr>
        <w:t>sodium thiosulphate</w:t>
      </w:r>
      <w:r w:rsidRPr="005F3E44">
        <w:t xml:space="preserve"> forms calcium-thiosulphate complexes which are highly soluble</w:t>
      </w:r>
      <w:r w:rsidR="00893F6D" w:rsidRPr="005F3E44">
        <w:t xml:space="preserve"> and excreted in the urine or removed by haemodialysis</w:t>
      </w:r>
      <w:r w:rsidRPr="005F3E44">
        <w:t>. It also reduces anti-oxidant activity which may reduce the endothelial d</w:t>
      </w:r>
      <w:r w:rsidR="00003815">
        <w:t>ysfunction</w:t>
      </w:r>
      <w:r w:rsidR="00893F6D" w:rsidRPr="005F3E44">
        <w:t xml:space="preserve"> and the pain experienced</w:t>
      </w:r>
      <w:r w:rsidRPr="005F3E44">
        <w:t>. Numerous case reports hav</w:t>
      </w:r>
      <w:r w:rsidR="00893F6D" w:rsidRPr="005F3E44">
        <w:t>e suggested a beneficial effect</w:t>
      </w:r>
      <w:r w:rsidRPr="005F3E44">
        <w:t xml:space="preserve">. </w:t>
      </w:r>
      <w:r w:rsidR="00893F6D" w:rsidRPr="005F3E44">
        <w:t xml:space="preserve">It’s clearance on peritoneal dialysis is unknown. There are no published clinical trials on its use in calciphylaxis. Patients might note symptomatic improvement in pain within a few weeks, but the ulcers may take months to heal. </w:t>
      </w:r>
    </w:p>
    <w:p w14:paraId="77D02F0E" w14:textId="77777777" w:rsidR="000E50C5" w:rsidRDefault="000E50C5" w:rsidP="00DD5639">
      <w:pPr>
        <w:pStyle w:val="ListParagraph"/>
        <w:ind w:left="0"/>
        <w:rPr>
          <w:sz w:val="24"/>
        </w:rPr>
      </w:pPr>
    </w:p>
    <w:p w14:paraId="08AA1B95" w14:textId="77777777" w:rsidR="00DD5639" w:rsidRPr="00893F6D" w:rsidRDefault="00DD5639" w:rsidP="00DD5639">
      <w:pPr>
        <w:pStyle w:val="ListParagraph"/>
        <w:ind w:left="0"/>
        <w:rPr>
          <w:b/>
          <w:sz w:val="24"/>
          <w:u w:val="single"/>
        </w:rPr>
      </w:pPr>
      <w:r w:rsidRPr="00893F6D">
        <w:rPr>
          <w:b/>
          <w:sz w:val="24"/>
          <w:u w:val="single"/>
        </w:rPr>
        <w:t>Adverse effects</w:t>
      </w:r>
    </w:p>
    <w:p w14:paraId="00F0E166" w14:textId="77777777" w:rsidR="00003815" w:rsidRDefault="00003815" w:rsidP="005F3E44">
      <w:pPr>
        <w:pStyle w:val="ListParagraph"/>
        <w:numPr>
          <w:ilvl w:val="0"/>
          <w:numId w:val="4"/>
        </w:numPr>
        <w:sectPr w:rsidR="00003815" w:rsidSect="00DD5639">
          <w:headerReference w:type="default" r:id="rId8"/>
          <w:footerReference w:type="default" r:id="rId9"/>
          <w:pgSz w:w="11906" w:h="16838"/>
          <w:pgMar w:top="720" w:right="720" w:bottom="720" w:left="720" w:header="708" w:footer="708" w:gutter="0"/>
          <w:cols w:space="708"/>
          <w:docGrid w:linePitch="360"/>
        </w:sectPr>
      </w:pPr>
    </w:p>
    <w:p w14:paraId="3403B75C" w14:textId="77777777" w:rsidR="005F3E44" w:rsidRPr="005F3E44" w:rsidRDefault="005F3E44" w:rsidP="005F3E44">
      <w:pPr>
        <w:pStyle w:val="ListParagraph"/>
        <w:numPr>
          <w:ilvl w:val="0"/>
          <w:numId w:val="4"/>
        </w:numPr>
      </w:pPr>
      <w:r w:rsidRPr="005F3E44">
        <w:t>Diarrhoea</w:t>
      </w:r>
    </w:p>
    <w:p w14:paraId="0D9E0BD5" w14:textId="77777777" w:rsidR="005F3E44" w:rsidRPr="005F3E44" w:rsidRDefault="005F3E44" w:rsidP="005F3E44">
      <w:pPr>
        <w:pStyle w:val="ListParagraph"/>
        <w:numPr>
          <w:ilvl w:val="0"/>
          <w:numId w:val="4"/>
        </w:numPr>
      </w:pPr>
      <w:r w:rsidRPr="005F3E44">
        <w:t>Diuresis</w:t>
      </w:r>
    </w:p>
    <w:p w14:paraId="0338AD55" w14:textId="77777777" w:rsidR="005F3E44" w:rsidRPr="005F3E44" w:rsidRDefault="005F3E44" w:rsidP="005F3E44">
      <w:pPr>
        <w:pStyle w:val="ListParagraph"/>
        <w:numPr>
          <w:ilvl w:val="0"/>
          <w:numId w:val="4"/>
        </w:numPr>
      </w:pPr>
      <w:r w:rsidRPr="005F3E44">
        <w:t>Electrolytes disturbances (</w:t>
      </w:r>
      <w:proofErr w:type="spellStart"/>
      <w:r w:rsidRPr="005F3E44">
        <w:t>hypernatraemia</w:t>
      </w:r>
      <w:proofErr w:type="spellEnd"/>
      <w:r w:rsidRPr="005F3E44">
        <w:t>, hypocalcaemia)</w:t>
      </w:r>
    </w:p>
    <w:p w14:paraId="305E4187" w14:textId="77777777" w:rsidR="005F3E44" w:rsidRPr="005F3E44" w:rsidRDefault="005F3E44" w:rsidP="005F3E44">
      <w:pPr>
        <w:pStyle w:val="ListParagraph"/>
        <w:numPr>
          <w:ilvl w:val="0"/>
          <w:numId w:val="4"/>
        </w:numPr>
      </w:pPr>
      <w:r w:rsidRPr="005F3E44">
        <w:t>Headache</w:t>
      </w:r>
    </w:p>
    <w:p w14:paraId="2B049740" w14:textId="77777777" w:rsidR="005F3E44" w:rsidRPr="005F3E44" w:rsidRDefault="005F3E44" w:rsidP="005F3E44">
      <w:pPr>
        <w:pStyle w:val="ListParagraph"/>
        <w:numPr>
          <w:ilvl w:val="0"/>
          <w:numId w:val="4"/>
        </w:numPr>
      </w:pPr>
      <w:r w:rsidRPr="005F3E44">
        <w:t>Increased appetite and taste disturbances</w:t>
      </w:r>
    </w:p>
    <w:p w14:paraId="6A2B31C0" w14:textId="77777777" w:rsidR="005F3E44" w:rsidRPr="005F3E44" w:rsidRDefault="005F3E44" w:rsidP="005F3E44">
      <w:pPr>
        <w:pStyle w:val="ListParagraph"/>
        <w:numPr>
          <w:ilvl w:val="0"/>
          <w:numId w:val="4"/>
        </w:numPr>
      </w:pPr>
      <w:r w:rsidRPr="005F3E44">
        <w:t xml:space="preserve">Metabolic acidosis </w:t>
      </w:r>
    </w:p>
    <w:p w14:paraId="16207D7D" w14:textId="77777777" w:rsidR="005F3E44" w:rsidRPr="005F3E44" w:rsidRDefault="005F3E44" w:rsidP="005F3E44">
      <w:pPr>
        <w:pStyle w:val="ListParagraph"/>
        <w:numPr>
          <w:ilvl w:val="0"/>
          <w:numId w:val="4"/>
        </w:numPr>
      </w:pPr>
      <w:r w:rsidRPr="005F3E44">
        <w:t>Nausea and vomiting (most common)</w:t>
      </w:r>
    </w:p>
    <w:p w14:paraId="777AE166" w14:textId="77777777" w:rsidR="005F3E44" w:rsidRPr="005F3E44" w:rsidRDefault="005F3E44" w:rsidP="005F3E44">
      <w:pPr>
        <w:pStyle w:val="ListParagraph"/>
        <w:numPr>
          <w:ilvl w:val="0"/>
          <w:numId w:val="4"/>
        </w:numPr>
      </w:pPr>
      <w:r w:rsidRPr="005F3E44">
        <w:t xml:space="preserve">Oedema </w:t>
      </w:r>
    </w:p>
    <w:p w14:paraId="402600B6" w14:textId="77777777" w:rsidR="005F3E44" w:rsidRPr="005F3E44" w:rsidRDefault="005F3E44" w:rsidP="005F3E44">
      <w:pPr>
        <w:pStyle w:val="ListParagraph"/>
        <w:numPr>
          <w:ilvl w:val="0"/>
          <w:numId w:val="4"/>
        </w:numPr>
      </w:pPr>
      <w:r w:rsidRPr="005F3E44">
        <w:t>QT interval prolongation</w:t>
      </w:r>
    </w:p>
    <w:p w14:paraId="0CF62D4C" w14:textId="77777777" w:rsidR="005F3E44" w:rsidRPr="005F3E44" w:rsidRDefault="005F3E44" w:rsidP="005F3E44">
      <w:pPr>
        <w:pStyle w:val="ListParagraph"/>
        <w:numPr>
          <w:ilvl w:val="0"/>
          <w:numId w:val="4"/>
        </w:numPr>
      </w:pPr>
      <w:r w:rsidRPr="005F3E44">
        <w:t>rhinorrhoea</w:t>
      </w:r>
    </w:p>
    <w:p w14:paraId="5B3474A8" w14:textId="77777777" w:rsidR="00003815" w:rsidRPr="00003815" w:rsidRDefault="005F3E44" w:rsidP="00003815">
      <w:pPr>
        <w:pStyle w:val="ListParagraph"/>
        <w:numPr>
          <w:ilvl w:val="0"/>
          <w:numId w:val="4"/>
        </w:numPr>
        <w:sectPr w:rsidR="00003815" w:rsidRPr="00003815" w:rsidSect="00003815">
          <w:type w:val="continuous"/>
          <w:pgSz w:w="11906" w:h="16838"/>
          <w:pgMar w:top="720" w:right="720" w:bottom="720" w:left="720" w:header="708" w:footer="708" w:gutter="0"/>
          <w:cols w:num="2" w:space="708"/>
          <w:docGrid w:linePitch="360"/>
        </w:sectPr>
      </w:pPr>
      <w:r w:rsidRPr="005F3E44">
        <w:t>Severe hypotension</w:t>
      </w:r>
    </w:p>
    <w:p w14:paraId="066C25C7" w14:textId="77777777" w:rsidR="00DD5639" w:rsidRPr="00893F6D" w:rsidRDefault="00DD5639" w:rsidP="00DD5639">
      <w:pPr>
        <w:pStyle w:val="ListParagraph"/>
        <w:ind w:left="0"/>
        <w:rPr>
          <w:b/>
          <w:sz w:val="24"/>
          <w:u w:val="single"/>
        </w:rPr>
      </w:pPr>
      <w:r w:rsidRPr="00893F6D">
        <w:rPr>
          <w:b/>
          <w:sz w:val="24"/>
          <w:u w:val="single"/>
        </w:rPr>
        <w:lastRenderedPageBreak/>
        <w:t>Formulation available</w:t>
      </w:r>
    </w:p>
    <w:p w14:paraId="7DF20779" w14:textId="77777777" w:rsidR="00F10C0A" w:rsidRDefault="005F3E44" w:rsidP="00F10C0A">
      <w:pPr>
        <w:pStyle w:val="ListParagraph"/>
        <w:numPr>
          <w:ilvl w:val="0"/>
          <w:numId w:val="5"/>
        </w:numPr>
      </w:pPr>
      <w:r>
        <w:t xml:space="preserve">Sodium Thiosulfate (20mL) 50% </w:t>
      </w:r>
      <w:r w:rsidR="00F10C0A">
        <w:t xml:space="preserve">10g in 20mL injections – </w:t>
      </w:r>
      <w:r w:rsidR="00F10C0A" w:rsidRPr="00003815">
        <w:rPr>
          <w:highlight w:val="yellow"/>
        </w:rPr>
        <w:t>UNLICENSED</w:t>
      </w:r>
      <w:r w:rsidR="00F10C0A">
        <w:t xml:space="preserve"> </w:t>
      </w:r>
    </w:p>
    <w:p w14:paraId="4915B866" w14:textId="77777777" w:rsidR="00DD5639" w:rsidRPr="005F3E44" w:rsidRDefault="005F3E44" w:rsidP="00F10C0A">
      <w:pPr>
        <w:pStyle w:val="ListParagraph"/>
        <w:numPr>
          <w:ilvl w:val="0"/>
          <w:numId w:val="5"/>
        </w:numPr>
      </w:pPr>
      <w:r>
        <w:t>Sodium Thiosulfate (50mL) 25% 12.5g in 50mL injection</w:t>
      </w:r>
      <w:r w:rsidR="00F10C0A">
        <w:t xml:space="preserve"> – </w:t>
      </w:r>
      <w:r w:rsidR="00F10C0A" w:rsidRPr="00003815">
        <w:rPr>
          <w:highlight w:val="yellow"/>
        </w:rPr>
        <w:t>UNLICENSED</w:t>
      </w:r>
      <w:r w:rsidR="00F10C0A">
        <w:t xml:space="preserve"> </w:t>
      </w:r>
    </w:p>
    <w:p w14:paraId="614FFC3E" w14:textId="77777777" w:rsidR="00DD5639" w:rsidRDefault="00DD5639" w:rsidP="00DD5639">
      <w:pPr>
        <w:pStyle w:val="ListParagraph"/>
        <w:ind w:left="0"/>
        <w:rPr>
          <w:sz w:val="24"/>
        </w:rPr>
      </w:pPr>
    </w:p>
    <w:p w14:paraId="548CB289" w14:textId="77777777" w:rsidR="000E50C5" w:rsidRPr="00893F6D" w:rsidRDefault="00DD5639" w:rsidP="00893F6D">
      <w:pPr>
        <w:pStyle w:val="ListParagraph"/>
        <w:ind w:left="0"/>
        <w:rPr>
          <w:b/>
          <w:sz w:val="24"/>
          <w:szCs w:val="24"/>
          <w:u w:val="single"/>
        </w:rPr>
      </w:pPr>
      <w:r w:rsidRPr="00893F6D">
        <w:rPr>
          <w:b/>
          <w:sz w:val="24"/>
          <w:szCs w:val="24"/>
          <w:u w:val="single"/>
        </w:rPr>
        <w:t>Dose and administration</w:t>
      </w:r>
    </w:p>
    <w:tbl>
      <w:tblPr>
        <w:tblStyle w:val="MediumGrid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306"/>
      </w:tblGrid>
      <w:tr w:rsidR="00893F6D" w14:paraId="7F016B4B" w14:textId="77777777" w:rsidTr="00F10C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76" w:type="dxa"/>
            <w:tcBorders>
              <w:top w:val="none" w:sz="0" w:space="0" w:color="auto"/>
              <w:left w:val="none" w:sz="0" w:space="0" w:color="auto"/>
              <w:bottom w:val="none" w:sz="0" w:space="0" w:color="auto"/>
              <w:right w:val="none" w:sz="0" w:space="0" w:color="auto"/>
            </w:tcBorders>
          </w:tcPr>
          <w:p w14:paraId="34AA0DB5" w14:textId="77777777" w:rsidR="00893F6D" w:rsidRPr="005F3E44" w:rsidRDefault="00893F6D" w:rsidP="00DD5639">
            <w:pPr>
              <w:pStyle w:val="ListParagraph"/>
              <w:ind w:left="0"/>
              <w:rPr>
                <w:rFonts w:asciiTheme="minorHAnsi" w:hAnsiTheme="minorHAnsi" w:cstheme="minorHAnsi"/>
                <w:szCs w:val="24"/>
              </w:rPr>
            </w:pPr>
            <w:r w:rsidRPr="005F3E44">
              <w:rPr>
                <w:rFonts w:asciiTheme="minorHAnsi" w:hAnsiTheme="minorHAnsi" w:cstheme="minorHAnsi"/>
                <w:szCs w:val="24"/>
              </w:rPr>
              <w:t xml:space="preserve">Dose </w:t>
            </w:r>
          </w:p>
        </w:tc>
        <w:tc>
          <w:tcPr>
            <w:tcW w:w="8306" w:type="dxa"/>
            <w:shd w:val="clear" w:color="auto" w:fill="DBE5F1" w:themeFill="accent1" w:themeFillTint="33"/>
          </w:tcPr>
          <w:p w14:paraId="7ADCADB8" w14:textId="77777777" w:rsidR="00893F6D" w:rsidRPr="005F3E44" w:rsidRDefault="00933B36" w:rsidP="00DD5639">
            <w:pPr>
              <w:pStyle w:val="ListParagraph"/>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Cs w:val="24"/>
              </w:rPr>
            </w:pPr>
            <w:r>
              <w:rPr>
                <w:rFonts w:asciiTheme="minorHAnsi" w:hAnsiTheme="minorHAnsi" w:cstheme="minorHAnsi"/>
                <w:b w:val="0"/>
                <w:szCs w:val="24"/>
              </w:rPr>
              <w:t xml:space="preserve">Start with 12.5g </w:t>
            </w:r>
            <w:r w:rsidR="00893F6D" w:rsidRPr="005F3E44">
              <w:rPr>
                <w:rFonts w:asciiTheme="minorHAnsi" w:hAnsiTheme="minorHAnsi" w:cstheme="minorHAnsi"/>
                <w:b w:val="0"/>
                <w:szCs w:val="24"/>
              </w:rPr>
              <w:t>THREE times a week on haemodialysis</w:t>
            </w:r>
            <w:r>
              <w:rPr>
                <w:rFonts w:asciiTheme="minorHAnsi" w:hAnsiTheme="minorHAnsi" w:cstheme="minorHAnsi"/>
                <w:b w:val="0"/>
                <w:szCs w:val="24"/>
              </w:rPr>
              <w:t>. Aim to up titrate to 25g THREE times a week on haemodialysis if tolerated.</w:t>
            </w:r>
          </w:p>
        </w:tc>
      </w:tr>
      <w:tr w:rsidR="00893F6D" w14:paraId="58CFDFA4" w14:textId="77777777" w:rsidTr="00F10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left w:val="none" w:sz="0" w:space="0" w:color="auto"/>
              <w:bottom w:val="none" w:sz="0" w:space="0" w:color="auto"/>
              <w:right w:val="none" w:sz="0" w:space="0" w:color="auto"/>
            </w:tcBorders>
          </w:tcPr>
          <w:p w14:paraId="747E1B66" w14:textId="77777777" w:rsidR="00893F6D" w:rsidRPr="005F3E44" w:rsidRDefault="00893F6D" w:rsidP="00DD5639">
            <w:pPr>
              <w:pStyle w:val="ListParagraph"/>
              <w:ind w:left="0"/>
              <w:rPr>
                <w:rFonts w:asciiTheme="minorHAnsi" w:hAnsiTheme="minorHAnsi" w:cstheme="minorHAnsi"/>
                <w:szCs w:val="24"/>
              </w:rPr>
            </w:pPr>
            <w:r w:rsidRPr="005F3E44">
              <w:rPr>
                <w:rFonts w:asciiTheme="minorHAnsi" w:hAnsiTheme="minorHAnsi" w:cstheme="minorHAnsi"/>
                <w:szCs w:val="24"/>
              </w:rPr>
              <w:t>Time</w:t>
            </w:r>
          </w:p>
        </w:tc>
        <w:tc>
          <w:tcPr>
            <w:tcW w:w="8306" w:type="dxa"/>
            <w:tcBorders>
              <w:left w:val="none" w:sz="0" w:space="0" w:color="auto"/>
            </w:tcBorders>
          </w:tcPr>
          <w:p w14:paraId="24EDFB56" w14:textId="77777777" w:rsidR="00893F6D" w:rsidRPr="005F3E44" w:rsidRDefault="00893F6D" w:rsidP="00DD5639">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5F3E44">
              <w:rPr>
                <w:rFonts w:asciiTheme="minorHAnsi" w:hAnsiTheme="minorHAnsi" w:cstheme="minorHAnsi"/>
                <w:szCs w:val="24"/>
              </w:rPr>
              <w:t>Over the last 30 to 60 minutes of haemodialysis</w:t>
            </w:r>
          </w:p>
        </w:tc>
      </w:tr>
      <w:tr w:rsidR="00893F6D" w14:paraId="70803E59" w14:textId="77777777" w:rsidTr="00F10C0A">
        <w:tc>
          <w:tcPr>
            <w:cnfStyle w:val="001000000000" w:firstRow="0" w:lastRow="0" w:firstColumn="1" w:lastColumn="0" w:oddVBand="0" w:evenVBand="0" w:oddHBand="0" w:evenHBand="0" w:firstRowFirstColumn="0" w:firstRowLastColumn="0" w:lastRowFirstColumn="0" w:lastRowLastColumn="0"/>
            <w:tcW w:w="2376" w:type="dxa"/>
            <w:tcBorders>
              <w:left w:val="none" w:sz="0" w:space="0" w:color="auto"/>
              <w:bottom w:val="none" w:sz="0" w:space="0" w:color="auto"/>
              <w:right w:val="none" w:sz="0" w:space="0" w:color="auto"/>
            </w:tcBorders>
          </w:tcPr>
          <w:p w14:paraId="39C388C5" w14:textId="77777777" w:rsidR="00893F6D" w:rsidRPr="005F3E44" w:rsidRDefault="00893F6D" w:rsidP="00DD5639">
            <w:pPr>
              <w:pStyle w:val="ListParagraph"/>
              <w:ind w:left="0"/>
              <w:rPr>
                <w:rFonts w:asciiTheme="minorHAnsi" w:hAnsiTheme="minorHAnsi" w:cstheme="minorHAnsi"/>
                <w:szCs w:val="24"/>
              </w:rPr>
            </w:pPr>
            <w:r w:rsidRPr="005F3E44">
              <w:rPr>
                <w:rFonts w:asciiTheme="minorHAnsi" w:hAnsiTheme="minorHAnsi" w:cstheme="minorHAnsi"/>
                <w:szCs w:val="24"/>
              </w:rPr>
              <w:t xml:space="preserve">Route </w:t>
            </w:r>
          </w:p>
        </w:tc>
        <w:tc>
          <w:tcPr>
            <w:tcW w:w="8306" w:type="dxa"/>
          </w:tcPr>
          <w:p w14:paraId="1D62C084" w14:textId="77777777" w:rsidR="00893F6D" w:rsidRPr="005F3E44" w:rsidRDefault="00893F6D" w:rsidP="00003815">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5F3E44">
              <w:rPr>
                <w:rFonts w:asciiTheme="minorHAnsi" w:hAnsiTheme="minorHAnsi" w:cstheme="minorHAnsi"/>
                <w:szCs w:val="24"/>
              </w:rPr>
              <w:t>Intravenous</w:t>
            </w:r>
            <w:r w:rsidR="00003815">
              <w:rPr>
                <w:rFonts w:asciiTheme="minorHAnsi" w:hAnsiTheme="minorHAnsi" w:cstheme="minorHAnsi"/>
                <w:szCs w:val="24"/>
              </w:rPr>
              <w:t>ly</w:t>
            </w:r>
            <w:r w:rsidRPr="005F3E44">
              <w:rPr>
                <w:rFonts w:asciiTheme="minorHAnsi" w:hAnsiTheme="minorHAnsi" w:cstheme="minorHAnsi"/>
                <w:szCs w:val="24"/>
              </w:rPr>
              <w:t xml:space="preserve"> </w:t>
            </w:r>
            <w:r w:rsidR="00003815">
              <w:rPr>
                <w:rFonts w:asciiTheme="minorHAnsi" w:hAnsiTheme="minorHAnsi" w:cstheme="minorHAnsi"/>
                <w:szCs w:val="24"/>
              </w:rPr>
              <w:t>via venous port of dialyser</w:t>
            </w:r>
          </w:p>
        </w:tc>
      </w:tr>
      <w:tr w:rsidR="00893F6D" w14:paraId="5B696C87" w14:textId="77777777" w:rsidTr="00F10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left w:val="none" w:sz="0" w:space="0" w:color="auto"/>
              <w:bottom w:val="none" w:sz="0" w:space="0" w:color="auto"/>
              <w:right w:val="none" w:sz="0" w:space="0" w:color="auto"/>
            </w:tcBorders>
          </w:tcPr>
          <w:p w14:paraId="02E4D798" w14:textId="77777777" w:rsidR="00893F6D" w:rsidRPr="005F3E44" w:rsidRDefault="00893F6D" w:rsidP="00DD5639">
            <w:pPr>
              <w:pStyle w:val="ListParagraph"/>
              <w:ind w:left="0"/>
              <w:rPr>
                <w:rFonts w:asciiTheme="minorHAnsi" w:hAnsiTheme="minorHAnsi" w:cstheme="minorHAnsi"/>
                <w:szCs w:val="24"/>
              </w:rPr>
            </w:pPr>
            <w:r w:rsidRPr="005F3E44">
              <w:rPr>
                <w:rFonts w:asciiTheme="minorHAnsi" w:hAnsiTheme="minorHAnsi" w:cstheme="minorHAnsi"/>
                <w:szCs w:val="24"/>
              </w:rPr>
              <w:t>Tolerability</w:t>
            </w:r>
          </w:p>
        </w:tc>
        <w:tc>
          <w:tcPr>
            <w:tcW w:w="8306" w:type="dxa"/>
            <w:tcBorders>
              <w:left w:val="none" w:sz="0" w:space="0" w:color="auto"/>
            </w:tcBorders>
          </w:tcPr>
          <w:p w14:paraId="202F8E0E" w14:textId="77777777" w:rsidR="00893F6D" w:rsidRPr="005F3E44" w:rsidRDefault="00893F6D" w:rsidP="00DD5639">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5F3E44">
              <w:rPr>
                <w:rFonts w:asciiTheme="minorHAnsi" w:hAnsiTheme="minorHAnsi" w:cstheme="minorHAnsi"/>
                <w:szCs w:val="24"/>
              </w:rPr>
              <w:t>On initiation it may not be well tolerated. In such circumstances lower do</w:t>
            </w:r>
            <w:r w:rsidR="005F3E44">
              <w:rPr>
                <w:rFonts w:asciiTheme="minorHAnsi" w:hAnsiTheme="minorHAnsi" w:cstheme="minorHAnsi"/>
                <w:szCs w:val="24"/>
              </w:rPr>
              <w:t>ses should be used and titration</w:t>
            </w:r>
            <w:r w:rsidRPr="005F3E44">
              <w:rPr>
                <w:rFonts w:asciiTheme="minorHAnsi" w:hAnsiTheme="minorHAnsi" w:cstheme="minorHAnsi"/>
                <w:szCs w:val="24"/>
              </w:rPr>
              <w:t xml:space="preserve"> dependant on tolerability.</w:t>
            </w:r>
          </w:p>
        </w:tc>
      </w:tr>
      <w:tr w:rsidR="00893F6D" w14:paraId="66034FE3" w14:textId="77777777" w:rsidTr="00F10C0A">
        <w:tc>
          <w:tcPr>
            <w:cnfStyle w:val="001000000000" w:firstRow="0" w:lastRow="0" w:firstColumn="1" w:lastColumn="0" w:oddVBand="0" w:evenVBand="0" w:oddHBand="0" w:evenHBand="0" w:firstRowFirstColumn="0" w:firstRowLastColumn="0" w:lastRowFirstColumn="0" w:lastRowLastColumn="0"/>
            <w:tcW w:w="2376" w:type="dxa"/>
            <w:tcBorders>
              <w:left w:val="none" w:sz="0" w:space="0" w:color="auto"/>
              <w:bottom w:val="none" w:sz="0" w:space="0" w:color="auto"/>
              <w:right w:val="none" w:sz="0" w:space="0" w:color="auto"/>
            </w:tcBorders>
          </w:tcPr>
          <w:p w14:paraId="767565C9" w14:textId="77777777" w:rsidR="00893F6D" w:rsidRPr="005F3E44" w:rsidRDefault="00893F6D" w:rsidP="00DD5639">
            <w:pPr>
              <w:pStyle w:val="ListParagraph"/>
              <w:ind w:left="0"/>
              <w:rPr>
                <w:rFonts w:asciiTheme="minorHAnsi" w:hAnsiTheme="minorHAnsi" w:cstheme="minorHAnsi"/>
                <w:szCs w:val="24"/>
              </w:rPr>
            </w:pPr>
            <w:r w:rsidRPr="005F3E44">
              <w:rPr>
                <w:rFonts w:asciiTheme="minorHAnsi" w:hAnsiTheme="minorHAnsi" w:cstheme="minorHAnsi"/>
                <w:szCs w:val="24"/>
              </w:rPr>
              <w:t>Duration of treatment</w:t>
            </w:r>
          </w:p>
        </w:tc>
        <w:tc>
          <w:tcPr>
            <w:tcW w:w="8306" w:type="dxa"/>
          </w:tcPr>
          <w:p w14:paraId="10CEBBB2" w14:textId="77777777" w:rsidR="00893F6D" w:rsidRPr="005F3E44" w:rsidRDefault="00893F6D" w:rsidP="00DD5639">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5F3E44">
              <w:rPr>
                <w:rFonts w:asciiTheme="minorHAnsi" w:hAnsiTheme="minorHAnsi" w:cstheme="minorHAnsi"/>
                <w:szCs w:val="24"/>
              </w:rPr>
              <w:t>6 weeks to 34 months</w:t>
            </w:r>
          </w:p>
        </w:tc>
      </w:tr>
      <w:tr w:rsidR="005F3E44" w14:paraId="75B90954" w14:textId="77777777" w:rsidTr="00F10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left w:val="none" w:sz="0" w:space="0" w:color="auto"/>
              <w:bottom w:val="none" w:sz="0" w:space="0" w:color="auto"/>
              <w:right w:val="none" w:sz="0" w:space="0" w:color="auto"/>
            </w:tcBorders>
          </w:tcPr>
          <w:p w14:paraId="281CA875" w14:textId="77777777" w:rsidR="005F3E44" w:rsidRPr="005F3E44" w:rsidRDefault="005F3E44" w:rsidP="00DD5639">
            <w:pPr>
              <w:pStyle w:val="ListParagraph"/>
              <w:ind w:left="0"/>
              <w:rPr>
                <w:rFonts w:asciiTheme="minorHAnsi" w:hAnsiTheme="minorHAnsi" w:cstheme="minorHAnsi"/>
                <w:szCs w:val="24"/>
              </w:rPr>
            </w:pPr>
            <w:r w:rsidRPr="005F3E44">
              <w:rPr>
                <w:rFonts w:asciiTheme="minorHAnsi" w:hAnsiTheme="minorHAnsi" w:cstheme="minorHAnsi"/>
                <w:szCs w:val="24"/>
              </w:rPr>
              <w:t>Dilution</w:t>
            </w:r>
          </w:p>
        </w:tc>
        <w:tc>
          <w:tcPr>
            <w:tcW w:w="8306" w:type="dxa"/>
            <w:tcBorders>
              <w:left w:val="none" w:sz="0" w:space="0" w:color="auto"/>
            </w:tcBorders>
          </w:tcPr>
          <w:p w14:paraId="6E77670B" w14:textId="77777777" w:rsidR="005F3E44" w:rsidRPr="005F3E44" w:rsidRDefault="005F3E44" w:rsidP="00DD5639">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5F3E44">
              <w:rPr>
                <w:rFonts w:asciiTheme="minorHAnsi" w:hAnsiTheme="minorHAnsi" w:cstheme="minorHAnsi"/>
                <w:szCs w:val="24"/>
              </w:rPr>
              <w:t>50-100mLs of sodium chloride 0.9% or glucose 5%</w:t>
            </w:r>
            <w:r w:rsidR="00003815">
              <w:rPr>
                <w:rFonts w:asciiTheme="minorHAnsi" w:hAnsiTheme="minorHAnsi" w:cstheme="minorHAnsi"/>
                <w:szCs w:val="24"/>
              </w:rPr>
              <w:t xml:space="preserve">. </w:t>
            </w:r>
            <w:r w:rsidRPr="005F3E44">
              <w:rPr>
                <w:rFonts w:asciiTheme="minorHAnsi" w:hAnsiTheme="minorHAnsi" w:cstheme="minorHAnsi"/>
                <w:szCs w:val="24"/>
              </w:rPr>
              <w:t>Expiry: 24 hours</w:t>
            </w:r>
          </w:p>
        </w:tc>
      </w:tr>
      <w:tr w:rsidR="005F3E44" w14:paraId="4B8637F5" w14:textId="77777777" w:rsidTr="00F10C0A">
        <w:tc>
          <w:tcPr>
            <w:cnfStyle w:val="001000000000" w:firstRow="0" w:lastRow="0" w:firstColumn="1" w:lastColumn="0" w:oddVBand="0" w:evenVBand="0" w:oddHBand="0" w:evenHBand="0" w:firstRowFirstColumn="0" w:firstRowLastColumn="0" w:lastRowFirstColumn="0" w:lastRowLastColumn="0"/>
            <w:tcW w:w="2376" w:type="dxa"/>
            <w:tcBorders>
              <w:left w:val="none" w:sz="0" w:space="0" w:color="auto"/>
              <w:bottom w:val="none" w:sz="0" w:space="0" w:color="auto"/>
              <w:right w:val="none" w:sz="0" w:space="0" w:color="auto"/>
            </w:tcBorders>
          </w:tcPr>
          <w:p w14:paraId="56A7D0ED" w14:textId="77777777" w:rsidR="005F3E44" w:rsidRPr="005F3E44" w:rsidRDefault="005F3E44" w:rsidP="00DD5639">
            <w:pPr>
              <w:pStyle w:val="ListParagraph"/>
              <w:ind w:left="0"/>
              <w:rPr>
                <w:rFonts w:asciiTheme="minorHAnsi" w:hAnsiTheme="minorHAnsi" w:cstheme="minorHAnsi"/>
                <w:szCs w:val="24"/>
              </w:rPr>
            </w:pPr>
            <w:r w:rsidRPr="005F3E44">
              <w:rPr>
                <w:rFonts w:asciiTheme="minorHAnsi" w:hAnsiTheme="minorHAnsi" w:cstheme="minorHAnsi"/>
                <w:szCs w:val="24"/>
              </w:rPr>
              <w:t>Flush</w:t>
            </w:r>
          </w:p>
        </w:tc>
        <w:tc>
          <w:tcPr>
            <w:tcW w:w="8306" w:type="dxa"/>
          </w:tcPr>
          <w:p w14:paraId="7F070636" w14:textId="77777777" w:rsidR="005F3E44" w:rsidRPr="005F3E44" w:rsidRDefault="005F3E44" w:rsidP="00DD5639">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5F3E44">
              <w:rPr>
                <w:rFonts w:asciiTheme="minorHAnsi" w:hAnsiTheme="minorHAnsi" w:cstheme="minorHAnsi"/>
                <w:szCs w:val="24"/>
              </w:rPr>
              <w:t>With sodium chloride 0.9% or glucose 5%</w:t>
            </w:r>
          </w:p>
        </w:tc>
      </w:tr>
      <w:tr w:rsidR="005F3E44" w14:paraId="5EAD8A06" w14:textId="77777777" w:rsidTr="00F10C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left w:val="none" w:sz="0" w:space="0" w:color="auto"/>
              <w:bottom w:val="none" w:sz="0" w:space="0" w:color="auto"/>
              <w:right w:val="none" w:sz="0" w:space="0" w:color="auto"/>
            </w:tcBorders>
          </w:tcPr>
          <w:p w14:paraId="771D9308" w14:textId="77777777" w:rsidR="005F3E44" w:rsidRPr="005F3E44" w:rsidRDefault="005F3E44" w:rsidP="00DD5639">
            <w:pPr>
              <w:pStyle w:val="ListParagraph"/>
              <w:ind w:left="0"/>
              <w:rPr>
                <w:rFonts w:asciiTheme="minorHAnsi" w:hAnsiTheme="minorHAnsi" w:cstheme="minorHAnsi"/>
                <w:szCs w:val="24"/>
              </w:rPr>
            </w:pPr>
            <w:r w:rsidRPr="005F3E44">
              <w:rPr>
                <w:rFonts w:asciiTheme="minorHAnsi" w:hAnsiTheme="minorHAnsi" w:cstheme="minorHAnsi"/>
                <w:szCs w:val="24"/>
              </w:rPr>
              <w:t>Additional information</w:t>
            </w:r>
          </w:p>
        </w:tc>
        <w:tc>
          <w:tcPr>
            <w:tcW w:w="8306" w:type="dxa"/>
            <w:tcBorders>
              <w:left w:val="none" w:sz="0" w:space="0" w:color="auto"/>
            </w:tcBorders>
          </w:tcPr>
          <w:p w14:paraId="449EA2BA" w14:textId="77777777" w:rsidR="005F3E44" w:rsidRPr="005F3E44" w:rsidRDefault="005F3E44" w:rsidP="00DD5639">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5F3E44">
              <w:rPr>
                <w:rFonts w:asciiTheme="minorHAnsi" w:hAnsiTheme="minorHAnsi" w:cstheme="minorHAnsi"/>
                <w:szCs w:val="24"/>
              </w:rPr>
              <w:t>Extravasation may cause tissue damage due to high osmolality</w:t>
            </w:r>
            <w:r w:rsidR="00003815">
              <w:rPr>
                <w:rFonts w:asciiTheme="minorHAnsi" w:hAnsiTheme="minorHAnsi" w:cstheme="minorHAnsi"/>
                <w:szCs w:val="24"/>
              </w:rPr>
              <w:t>.</w:t>
            </w:r>
          </w:p>
          <w:p w14:paraId="14D58720" w14:textId="77777777" w:rsidR="005F3E44" w:rsidRPr="005F3E44" w:rsidRDefault="005F3E44" w:rsidP="00DD5639">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5F3E44">
              <w:rPr>
                <w:rFonts w:asciiTheme="minorHAnsi" w:hAnsiTheme="minorHAnsi" w:cstheme="minorHAnsi"/>
                <w:szCs w:val="24"/>
              </w:rPr>
              <w:t>Anti-emetics might be used as pre-medication if nausea is experienced</w:t>
            </w:r>
            <w:r w:rsidR="00003815">
              <w:rPr>
                <w:rFonts w:asciiTheme="minorHAnsi" w:hAnsiTheme="minorHAnsi" w:cstheme="minorHAnsi"/>
                <w:szCs w:val="24"/>
              </w:rPr>
              <w:t>.</w:t>
            </w:r>
          </w:p>
        </w:tc>
      </w:tr>
    </w:tbl>
    <w:p w14:paraId="4294F93F" w14:textId="77777777" w:rsidR="00F10C0A" w:rsidRPr="00003815" w:rsidRDefault="00003815">
      <w:r>
        <w:t>*</w:t>
      </w:r>
      <w:r w:rsidRPr="00003815">
        <w:t>If the patient is not on haemodialysis a central line should be used and the</w:t>
      </w:r>
      <w:r>
        <w:t xml:space="preserve"> renal team should be contacted.</w:t>
      </w:r>
    </w:p>
    <w:p w14:paraId="682AC365" w14:textId="77777777" w:rsidR="005F3E44" w:rsidRDefault="00893F6D">
      <w:pPr>
        <w:rPr>
          <w:b/>
          <w:sz w:val="24"/>
          <w:u w:val="single"/>
        </w:rPr>
      </w:pPr>
      <w:r w:rsidRPr="00893F6D">
        <w:rPr>
          <w:b/>
          <w:sz w:val="24"/>
          <w:u w:val="single"/>
        </w:rPr>
        <w:t>Monitoring</w:t>
      </w:r>
    </w:p>
    <w:p w14:paraId="4B96EDE8" w14:textId="77777777" w:rsidR="00F10C0A" w:rsidRDefault="00F10C0A" w:rsidP="00F10C0A">
      <w:pPr>
        <w:pStyle w:val="ListParagraph"/>
        <w:numPr>
          <w:ilvl w:val="0"/>
          <w:numId w:val="7"/>
        </w:numPr>
      </w:pPr>
      <w:r>
        <w:t>Blood pressure during the infusion</w:t>
      </w:r>
      <w:r w:rsidR="00003815">
        <w:t>.</w:t>
      </w:r>
    </w:p>
    <w:p w14:paraId="7831AC8D" w14:textId="77777777" w:rsidR="00F10C0A" w:rsidRDefault="00F10C0A" w:rsidP="00F10C0A">
      <w:pPr>
        <w:pStyle w:val="ListParagraph"/>
        <w:numPr>
          <w:ilvl w:val="0"/>
          <w:numId w:val="7"/>
        </w:numPr>
      </w:pPr>
      <w:r>
        <w:t>Progression of the calciphylaxis – monitor skin lesions and ulcers.</w:t>
      </w:r>
    </w:p>
    <w:p w14:paraId="24B5A42C" w14:textId="77777777" w:rsidR="00F10C0A" w:rsidRPr="00F10C0A" w:rsidRDefault="00F10C0A" w:rsidP="00F10C0A">
      <w:pPr>
        <w:pStyle w:val="ListParagraph"/>
        <w:numPr>
          <w:ilvl w:val="0"/>
          <w:numId w:val="7"/>
        </w:numPr>
      </w:pPr>
      <w:r>
        <w:t>Manage pain relief appropriately and titrate medications as tolerated.</w:t>
      </w:r>
    </w:p>
    <w:p w14:paraId="6767E4B4" w14:textId="77777777" w:rsidR="00F10C0A" w:rsidRDefault="00F10C0A" w:rsidP="00DD5639">
      <w:pPr>
        <w:rPr>
          <w:b/>
          <w:sz w:val="24"/>
          <w:u w:val="single"/>
        </w:rPr>
      </w:pPr>
      <w:r>
        <w:rPr>
          <w:b/>
          <w:sz w:val="24"/>
          <w:u w:val="single"/>
        </w:rPr>
        <w:t>References</w:t>
      </w:r>
    </w:p>
    <w:p w14:paraId="17BDBA7D" w14:textId="77777777" w:rsidR="00893F6D" w:rsidRPr="00F10C0A" w:rsidRDefault="00000000" w:rsidP="00F10C0A">
      <w:pPr>
        <w:pStyle w:val="ListParagraph"/>
        <w:numPr>
          <w:ilvl w:val="0"/>
          <w:numId w:val="8"/>
        </w:numPr>
        <w:rPr>
          <w:b/>
          <w:sz w:val="24"/>
          <w:u w:val="single"/>
        </w:rPr>
      </w:pPr>
      <w:hyperlink r:id="rId10" w:anchor=":~:text=Calciphylaxis%20(kal%2Dsih%2Dfuh,that%20can%20lead%20to%20death." w:history="1">
        <w:r w:rsidR="00893F6D" w:rsidRPr="00F10C0A">
          <w:rPr>
            <w:rStyle w:val="Hyperlink"/>
          </w:rPr>
          <w:t>Calciphylaxis - Symptoms and causes - Mayo Clinic</w:t>
        </w:r>
      </w:hyperlink>
    </w:p>
    <w:p w14:paraId="64A812DE" w14:textId="77777777" w:rsidR="00893F6D" w:rsidRPr="00F10C0A" w:rsidRDefault="00893F6D" w:rsidP="00F10C0A">
      <w:pPr>
        <w:pStyle w:val="ListParagraph"/>
        <w:numPr>
          <w:ilvl w:val="0"/>
          <w:numId w:val="8"/>
        </w:numPr>
      </w:pPr>
      <w:proofErr w:type="spellStart"/>
      <w:r w:rsidRPr="00F10C0A">
        <w:t>Nigwekar</w:t>
      </w:r>
      <w:proofErr w:type="spellEnd"/>
      <w:r w:rsidRPr="00F10C0A">
        <w:t xml:space="preserve"> SU, </w:t>
      </w:r>
      <w:proofErr w:type="spellStart"/>
      <w:r w:rsidRPr="00F10C0A">
        <w:t>Thadhani</w:t>
      </w:r>
      <w:proofErr w:type="spellEnd"/>
      <w:r w:rsidRPr="00F10C0A">
        <w:t xml:space="preserve"> R, Brandenburg VM. Calciphylaxis. N Engl J Med. 2018 May 3;378(18):1704-1714 </w:t>
      </w:r>
    </w:p>
    <w:p w14:paraId="1EE8B71A" w14:textId="77777777" w:rsidR="00893F6D" w:rsidRPr="00F10C0A" w:rsidRDefault="00893F6D" w:rsidP="00F10C0A">
      <w:pPr>
        <w:pStyle w:val="ListParagraph"/>
        <w:numPr>
          <w:ilvl w:val="0"/>
          <w:numId w:val="8"/>
        </w:numPr>
      </w:pPr>
      <w:r w:rsidRPr="00F10C0A">
        <w:t>McCarthy, JT et al. Survival, Risk Factors, and Effec</w:t>
      </w:r>
      <w:r w:rsidR="00F10C0A">
        <w:t>t of Treatment in 101 Patients w</w:t>
      </w:r>
      <w:r w:rsidRPr="00F10C0A">
        <w:t xml:space="preserve">ith Calciphylaxis, Mayo Clinic Proceeding. 2016 91(10):1384- 1394. </w:t>
      </w:r>
    </w:p>
    <w:p w14:paraId="60C51BDD" w14:textId="77777777" w:rsidR="00893F6D" w:rsidRPr="00F10C0A" w:rsidRDefault="00893F6D" w:rsidP="00F10C0A">
      <w:pPr>
        <w:pStyle w:val="ListParagraph"/>
        <w:numPr>
          <w:ilvl w:val="0"/>
          <w:numId w:val="8"/>
        </w:numPr>
      </w:pPr>
      <w:r w:rsidRPr="00F10C0A">
        <w:t xml:space="preserve">Dutta P et al. Correlation between clinical and pathological features of cutaneous calciphylaxis. </w:t>
      </w:r>
      <w:proofErr w:type="spellStart"/>
      <w:r w:rsidRPr="00F10C0A">
        <w:t>PLoS</w:t>
      </w:r>
      <w:proofErr w:type="spellEnd"/>
      <w:r w:rsidRPr="00F10C0A">
        <w:t xml:space="preserve"> ONE 2019 14(6): e0218155. </w:t>
      </w:r>
    </w:p>
    <w:p w14:paraId="04CAC8B4" w14:textId="77777777" w:rsidR="00893F6D" w:rsidRPr="00F10C0A" w:rsidRDefault="00893F6D" w:rsidP="00F10C0A">
      <w:pPr>
        <w:pStyle w:val="ListParagraph"/>
        <w:numPr>
          <w:ilvl w:val="0"/>
          <w:numId w:val="8"/>
        </w:numPr>
      </w:pPr>
      <w:proofErr w:type="spellStart"/>
      <w:r w:rsidRPr="00F10C0A">
        <w:t>Nigwaekar</w:t>
      </w:r>
      <w:proofErr w:type="spellEnd"/>
      <w:r w:rsidRPr="00F10C0A">
        <w:t xml:space="preserve"> SU et al. Sodium thiosulphate therapy for calcaemic uremic arteriolopathy. </w:t>
      </w:r>
      <w:proofErr w:type="spellStart"/>
      <w:r w:rsidRPr="00F10C0A">
        <w:t>cJASN</w:t>
      </w:r>
      <w:proofErr w:type="spellEnd"/>
      <w:r w:rsidRPr="00F10C0A">
        <w:t xml:space="preserve">, 2017 July 8(7):1162-1170. </w:t>
      </w:r>
    </w:p>
    <w:p w14:paraId="72824594" w14:textId="77777777" w:rsidR="00893F6D" w:rsidRPr="00F10C0A" w:rsidRDefault="00893F6D" w:rsidP="00F10C0A">
      <w:pPr>
        <w:pStyle w:val="ListParagraph"/>
        <w:numPr>
          <w:ilvl w:val="0"/>
          <w:numId w:val="8"/>
        </w:numPr>
        <w:rPr>
          <w:sz w:val="24"/>
        </w:rPr>
      </w:pPr>
      <w:r w:rsidRPr="00F10C0A">
        <w:t>5. Raymond et al. Sodium thiosulfate, bisphosphonates, and cinacalcet for treatment of calciphylaxis. Am. J. Health Syst. Pharm 2008; Aug 1;65(15):1419-29</w:t>
      </w:r>
    </w:p>
    <w:sectPr w:rsidR="00893F6D" w:rsidRPr="00F10C0A" w:rsidSect="0000381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EB3A" w14:textId="77777777" w:rsidR="005745C0" w:rsidRDefault="005745C0" w:rsidP="00DD5639">
      <w:pPr>
        <w:spacing w:after="0" w:line="240" w:lineRule="auto"/>
      </w:pPr>
      <w:r>
        <w:separator/>
      </w:r>
    </w:p>
  </w:endnote>
  <w:endnote w:type="continuationSeparator" w:id="0">
    <w:p w14:paraId="5DA76574" w14:textId="77777777" w:rsidR="005745C0" w:rsidRDefault="005745C0" w:rsidP="00DD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5508" w14:textId="77777777" w:rsidR="00DD5639" w:rsidRDefault="00DD5639">
    <w:pPr>
      <w:pStyle w:val="Footer"/>
    </w:pPr>
    <w:r>
      <w:t xml:space="preserve">Author: Chiara </w:t>
    </w:r>
    <w:proofErr w:type="spellStart"/>
    <w:r>
      <w:t>Vaccarone</w:t>
    </w:r>
    <w:proofErr w:type="spellEnd"/>
    <w:r>
      <w:t xml:space="preserve"> (Highly Specialist Renal Pharmacist)</w:t>
    </w:r>
    <w:r w:rsidR="001C0EEA">
      <w:t>. Checked by Renal Clinical Governance Group</w:t>
    </w:r>
  </w:p>
  <w:p w14:paraId="24EF05A6" w14:textId="77777777" w:rsidR="00DD5639" w:rsidRDefault="00DD5639">
    <w:pPr>
      <w:pStyle w:val="Footer"/>
    </w:pPr>
    <w:r>
      <w:t xml:space="preserve">Approved by: </w:t>
    </w:r>
    <w:r w:rsidR="0075781F">
      <w:t>Medicines Governance Committee              Approved date: July 2023</w:t>
    </w:r>
    <w:r>
      <w:t xml:space="preserve">               Review date:</w:t>
    </w:r>
    <w:r w:rsidR="00003815">
      <w:t xml:space="preserve"> </w:t>
    </w:r>
    <w:r w:rsidR="0075781F">
      <w:t>July 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72749" w14:textId="77777777" w:rsidR="005745C0" w:rsidRDefault="005745C0" w:rsidP="00DD5639">
      <w:pPr>
        <w:spacing w:after="0" w:line="240" w:lineRule="auto"/>
      </w:pPr>
      <w:r>
        <w:separator/>
      </w:r>
    </w:p>
  </w:footnote>
  <w:footnote w:type="continuationSeparator" w:id="0">
    <w:p w14:paraId="29E26D6D" w14:textId="77777777" w:rsidR="005745C0" w:rsidRDefault="005745C0" w:rsidP="00DD5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67D4" w14:textId="77777777" w:rsidR="00DD5639" w:rsidRDefault="00DD5639">
    <w:pPr>
      <w:pStyle w:val="Header"/>
    </w:pPr>
    <w:r>
      <w:ptab w:relativeTo="margin" w:alignment="center" w:leader="none"/>
    </w:r>
    <w:r>
      <w:ptab w:relativeTo="margin" w:alignment="right" w:leader="none"/>
    </w:r>
    <w:r>
      <w:rPr>
        <w:noProof/>
        <w:lang w:eastAsia="en-GB"/>
      </w:rPr>
      <w:drawing>
        <wp:inline distT="0" distB="0" distL="0" distR="0" wp14:anchorId="3D1A0904" wp14:editId="2AD8AACF">
          <wp:extent cx="1409700" cy="578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424" cy="579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E04"/>
    <w:multiLevelType w:val="hybridMultilevel"/>
    <w:tmpl w:val="6C72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C038D"/>
    <w:multiLevelType w:val="hybridMultilevel"/>
    <w:tmpl w:val="BDC01AF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631F17"/>
    <w:multiLevelType w:val="hybridMultilevel"/>
    <w:tmpl w:val="B81490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31FCE"/>
    <w:multiLevelType w:val="hybridMultilevel"/>
    <w:tmpl w:val="AAF27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5E430D"/>
    <w:multiLevelType w:val="hybridMultilevel"/>
    <w:tmpl w:val="204E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97CDB"/>
    <w:multiLevelType w:val="hybridMultilevel"/>
    <w:tmpl w:val="5574C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C66B63"/>
    <w:multiLevelType w:val="hybridMultilevel"/>
    <w:tmpl w:val="07324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01139D"/>
    <w:multiLevelType w:val="hybridMultilevel"/>
    <w:tmpl w:val="B91E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0985727">
    <w:abstractNumId w:val="3"/>
  </w:num>
  <w:num w:numId="2" w16cid:durableId="1294168459">
    <w:abstractNumId w:val="4"/>
  </w:num>
  <w:num w:numId="3" w16cid:durableId="1325235707">
    <w:abstractNumId w:val="0"/>
  </w:num>
  <w:num w:numId="4" w16cid:durableId="442186200">
    <w:abstractNumId w:val="7"/>
  </w:num>
  <w:num w:numId="5" w16cid:durableId="1563832070">
    <w:abstractNumId w:val="1"/>
  </w:num>
  <w:num w:numId="6" w16cid:durableId="890308684">
    <w:abstractNumId w:val="2"/>
  </w:num>
  <w:num w:numId="7" w16cid:durableId="977226149">
    <w:abstractNumId w:val="5"/>
  </w:num>
  <w:num w:numId="8" w16cid:durableId="13297535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155"/>
    <w:rsid w:val="00003815"/>
    <w:rsid w:val="000E50C5"/>
    <w:rsid w:val="001841A9"/>
    <w:rsid w:val="001C0EEA"/>
    <w:rsid w:val="00207754"/>
    <w:rsid w:val="00425C72"/>
    <w:rsid w:val="005745C0"/>
    <w:rsid w:val="005F3E44"/>
    <w:rsid w:val="00654CBF"/>
    <w:rsid w:val="00694116"/>
    <w:rsid w:val="0075781F"/>
    <w:rsid w:val="00893F6D"/>
    <w:rsid w:val="008E7155"/>
    <w:rsid w:val="00933B36"/>
    <w:rsid w:val="00A166CB"/>
    <w:rsid w:val="00AD4E40"/>
    <w:rsid w:val="00DD5639"/>
    <w:rsid w:val="00F10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F2A70"/>
  <w15:docId w15:val="{C91AF800-F6B1-4DD3-B805-79C6A67A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155"/>
    <w:pPr>
      <w:ind w:left="720"/>
      <w:contextualSpacing/>
    </w:pPr>
  </w:style>
  <w:style w:type="table" w:styleId="TableGrid">
    <w:name w:val="Table Grid"/>
    <w:basedOn w:val="TableNormal"/>
    <w:uiPriority w:val="59"/>
    <w:rsid w:val="008E7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5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639"/>
  </w:style>
  <w:style w:type="paragraph" w:styleId="Footer">
    <w:name w:val="footer"/>
    <w:basedOn w:val="Normal"/>
    <w:link w:val="FooterChar"/>
    <w:uiPriority w:val="99"/>
    <w:unhideWhenUsed/>
    <w:rsid w:val="00DD5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639"/>
  </w:style>
  <w:style w:type="paragraph" w:styleId="BalloonText">
    <w:name w:val="Balloon Text"/>
    <w:basedOn w:val="Normal"/>
    <w:link w:val="BalloonTextChar"/>
    <w:uiPriority w:val="99"/>
    <w:semiHidden/>
    <w:unhideWhenUsed/>
    <w:rsid w:val="00DD5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639"/>
    <w:rPr>
      <w:rFonts w:ascii="Tahoma" w:hAnsi="Tahoma" w:cs="Tahoma"/>
      <w:sz w:val="16"/>
      <w:szCs w:val="16"/>
    </w:rPr>
  </w:style>
  <w:style w:type="character" w:styleId="CommentReference">
    <w:name w:val="annotation reference"/>
    <w:basedOn w:val="DefaultParagraphFont"/>
    <w:uiPriority w:val="99"/>
    <w:semiHidden/>
    <w:unhideWhenUsed/>
    <w:rsid w:val="00DD5639"/>
    <w:rPr>
      <w:sz w:val="16"/>
      <w:szCs w:val="16"/>
    </w:rPr>
  </w:style>
  <w:style w:type="paragraph" w:styleId="CommentText">
    <w:name w:val="annotation text"/>
    <w:basedOn w:val="Normal"/>
    <w:link w:val="CommentTextChar"/>
    <w:uiPriority w:val="99"/>
    <w:semiHidden/>
    <w:unhideWhenUsed/>
    <w:rsid w:val="00DD5639"/>
    <w:pPr>
      <w:spacing w:line="240" w:lineRule="auto"/>
    </w:pPr>
    <w:rPr>
      <w:sz w:val="20"/>
      <w:szCs w:val="20"/>
    </w:rPr>
  </w:style>
  <w:style w:type="character" w:customStyle="1" w:styleId="CommentTextChar">
    <w:name w:val="Comment Text Char"/>
    <w:basedOn w:val="DefaultParagraphFont"/>
    <w:link w:val="CommentText"/>
    <w:uiPriority w:val="99"/>
    <w:semiHidden/>
    <w:rsid w:val="00DD5639"/>
    <w:rPr>
      <w:sz w:val="20"/>
      <w:szCs w:val="20"/>
    </w:rPr>
  </w:style>
  <w:style w:type="paragraph" w:styleId="CommentSubject">
    <w:name w:val="annotation subject"/>
    <w:basedOn w:val="CommentText"/>
    <w:next w:val="CommentText"/>
    <w:link w:val="CommentSubjectChar"/>
    <w:uiPriority w:val="99"/>
    <w:semiHidden/>
    <w:unhideWhenUsed/>
    <w:rsid w:val="00DD5639"/>
    <w:rPr>
      <w:b/>
      <w:bCs/>
    </w:rPr>
  </w:style>
  <w:style w:type="character" w:customStyle="1" w:styleId="CommentSubjectChar">
    <w:name w:val="Comment Subject Char"/>
    <w:basedOn w:val="CommentTextChar"/>
    <w:link w:val="CommentSubject"/>
    <w:uiPriority w:val="99"/>
    <w:semiHidden/>
    <w:rsid w:val="00DD5639"/>
    <w:rPr>
      <w:b/>
      <w:bCs/>
      <w:sz w:val="20"/>
      <w:szCs w:val="20"/>
    </w:rPr>
  </w:style>
  <w:style w:type="character" w:styleId="Hyperlink">
    <w:name w:val="Hyperlink"/>
    <w:basedOn w:val="DefaultParagraphFont"/>
    <w:uiPriority w:val="99"/>
    <w:semiHidden/>
    <w:unhideWhenUsed/>
    <w:rsid w:val="00893F6D"/>
    <w:rPr>
      <w:color w:val="0000FF"/>
      <w:u w:val="single"/>
    </w:rPr>
  </w:style>
  <w:style w:type="table" w:styleId="MediumGrid2-Accent1">
    <w:name w:val="Medium Grid 2 Accent 1"/>
    <w:basedOn w:val="TableNormal"/>
    <w:uiPriority w:val="68"/>
    <w:rsid w:val="005F3E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FollowedHyperlink">
    <w:name w:val="FollowedHyperlink"/>
    <w:basedOn w:val="DefaultParagraphFont"/>
    <w:uiPriority w:val="99"/>
    <w:semiHidden/>
    <w:unhideWhenUsed/>
    <w:rsid w:val="00F10C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ayoclinic.org/diseases-conditions/calciphylaxis/symptoms-causes/syc-20370559"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C089A-A6B4-4BB3-A1C2-6C7B6756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4158</Characters>
  <Application>Microsoft Office Word</Application>
  <DocSecurity>0</DocSecurity>
  <Lines>129</Lines>
  <Paragraphs>74</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Niamh</dc:creator>
  <cp:lastModifiedBy>BURGOYNE, Kevin (UNIVERSITY HOSPITALS SUSSEX NHS FOUNDATION TRUST)</cp:lastModifiedBy>
  <cp:revision>2</cp:revision>
  <cp:lastPrinted>2015-12-21T15:34:00Z</cp:lastPrinted>
  <dcterms:created xsi:type="dcterms:W3CDTF">2023-09-21T13:38:00Z</dcterms:created>
  <dcterms:modified xsi:type="dcterms:W3CDTF">2023-09-21T13:38:00Z</dcterms:modified>
</cp:coreProperties>
</file>