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DC2C" w14:textId="13FB3FFE" w:rsidR="00BF041B" w:rsidRPr="001819E1" w:rsidRDefault="00C4341C" w:rsidP="00907525">
      <w:pPr>
        <w:pStyle w:val="Heading1"/>
        <w:spacing w:before="240"/>
        <w:rPr>
          <w:rStyle w:val="markedcontent"/>
          <w:rFonts w:asciiTheme="minorHAnsi" w:hAnsiTheme="minorHAnsi" w:cstheme="minorHAnsi"/>
          <w:color w:val="auto"/>
          <w:sz w:val="22"/>
          <w:szCs w:val="22"/>
        </w:rPr>
      </w:pPr>
      <w:r w:rsidRPr="001819E1">
        <w:rPr>
          <w:rFonts w:asciiTheme="minorHAnsi" w:hAnsiTheme="minorHAnsi" w:cstheme="minorHAnsi"/>
          <w:color w:val="auto"/>
          <w:sz w:val="22"/>
          <w:szCs w:val="22"/>
        </w:rPr>
        <w:t xml:space="preserve">Guidelines </w:t>
      </w:r>
      <w:r w:rsidR="00907525" w:rsidRPr="001819E1">
        <w:rPr>
          <w:rFonts w:asciiTheme="minorHAnsi" w:hAnsiTheme="minorHAnsi" w:cstheme="minorHAnsi"/>
          <w:color w:val="auto"/>
          <w:sz w:val="22"/>
          <w:szCs w:val="22"/>
        </w:rPr>
        <w:t xml:space="preserve">for use of Antivirals and Neutralising </w:t>
      </w:r>
      <w:r w:rsidR="003F2603">
        <w:rPr>
          <w:rFonts w:asciiTheme="minorHAnsi" w:hAnsiTheme="minorHAnsi" w:cstheme="minorHAnsi"/>
          <w:color w:val="auto"/>
          <w:sz w:val="22"/>
          <w:szCs w:val="22"/>
        </w:rPr>
        <w:t>Monoclonal Antibodies for treat</w:t>
      </w:r>
      <w:r w:rsidR="00907525" w:rsidRPr="001819E1">
        <w:rPr>
          <w:rFonts w:asciiTheme="minorHAnsi" w:hAnsiTheme="minorHAnsi" w:cstheme="minorHAnsi"/>
          <w:color w:val="auto"/>
          <w:sz w:val="22"/>
          <w:szCs w:val="22"/>
        </w:rPr>
        <w:t>ment of</w:t>
      </w:r>
      <w:r w:rsidR="00BF041B" w:rsidRPr="001819E1">
        <w:rPr>
          <w:rStyle w:val="markedcontent"/>
          <w:rFonts w:asciiTheme="minorHAnsi" w:hAnsiTheme="minorHAnsi" w:cstheme="minorHAnsi"/>
          <w:color w:val="auto"/>
          <w:sz w:val="22"/>
          <w:szCs w:val="22"/>
        </w:rPr>
        <w:t xml:space="preserve"> non-hospitalised patients with</w:t>
      </w:r>
      <w:r w:rsidR="00E5375B" w:rsidRPr="001819E1">
        <w:rPr>
          <w:rStyle w:val="markedcontent"/>
          <w:rFonts w:asciiTheme="minorHAnsi" w:hAnsiTheme="minorHAnsi" w:cstheme="minorHAnsi"/>
          <w:color w:val="auto"/>
          <w:sz w:val="22"/>
          <w:szCs w:val="22"/>
        </w:rPr>
        <w:t xml:space="preserve"> COVID-19</w:t>
      </w:r>
      <w:r w:rsidR="00907525" w:rsidRPr="001819E1">
        <w:rPr>
          <w:rStyle w:val="markedcontent"/>
          <w:rFonts w:asciiTheme="minorHAnsi" w:hAnsiTheme="minorHAnsi" w:cstheme="minorHAnsi"/>
          <w:color w:val="auto"/>
          <w:sz w:val="22"/>
          <w:szCs w:val="22"/>
        </w:rPr>
        <w:t xml:space="preserve"> </w:t>
      </w:r>
      <w:r w:rsidR="005A1A36">
        <w:rPr>
          <w:rStyle w:val="markedcontent"/>
          <w:rFonts w:asciiTheme="minorHAnsi" w:hAnsiTheme="minorHAnsi" w:cstheme="minorHAnsi"/>
          <w:color w:val="auto"/>
          <w:sz w:val="22"/>
          <w:szCs w:val="22"/>
        </w:rPr>
        <w:t>with</w:t>
      </w:r>
      <w:r w:rsidR="00907525" w:rsidRPr="001819E1">
        <w:rPr>
          <w:rStyle w:val="markedcontent"/>
          <w:rFonts w:asciiTheme="minorHAnsi" w:hAnsiTheme="minorHAnsi" w:cstheme="minorHAnsi"/>
          <w:color w:val="auto"/>
          <w:sz w:val="22"/>
          <w:szCs w:val="22"/>
        </w:rPr>
        <w:t xml:space="preserve">in Covid19 </w:t>
      </w:r>
      <w:proofErr w:type="spellStart"/>
      <w:r w:rsidR="00907525" w:rsidRPr="001819E1">
        <w:rPr>
          <w:rStyle w:val="markedcontent"/>
          <w:rFonts w:asciiTheme="minorHAnsi" w:hAnsiTheme="minorHAnsi" w:cstheme="minorHAnsi"/>
          <w:color w:val="auto"/>
          <w:sz w:val="22"/>
          <w:szCs w:val="22"/>
        </w:rPr>
        <w:t>Medines</w:t>
      </w:r>
      <w:proofErr w:type="spellEnd"/>
      <w:r w:rsidR="00907525" w:rsidRPr="001819E1">
        <w:rPr>
          <w:rStyle w:val="markedcontent"/>
          <w:rFonts w:asciiTheme="minorHAnsi" w:hAnsiTheme="minorHAnsi" w:cstheme="minorHAnsi"/>
          <w:color w:val="auto"/>
          <w:sz w:val="22"/>
          <w:szCs w:val="22"/>
        </w:rPr>
        <w:t xml:space="preserve"> Delivery Unit (</w:t>
      </w:r>
      <w:proofErr w:type="spellStart"/>
      <w:r w:rsidR="00907525" w:rsidRPr="001819E1">
        <w:rPr>
          <w:rStyle w:val="markedcontent"/>
          <w:rFonts w:asciiTheme="minorHAnsi" w:hAnsiTheme="minorHAnsi" w:cstheme="minorHAnsi"/>
          <w:color w:val="auto"/>
          <w:sz w:val="22"/>
          <w:szCs w:val="22"/>
        </w:rPr>
        <w:t>CMDU</w:t>
      </w:r>
      <w:proofErr w:type="spellEnd"/>
      <w:r w:rsidR="00907525" w:rsidRPr="001819E1">
        <w:rPr>
          <w:rStyle w:val="markedcontent"/>
          <w:rFonts w:asciiTheme="minorHAnsi" w:hAnsiTheme="minorHAnsi" w:cstheme="minorHAnsi"/>
          <w:color w:val="auto"/>
          <w:sz w:val="22"/>
          <w:szCs w:val="22"/>
        </w:rPr>
        <w:t xml:space="preserve">) </w:t>
      </w:r>
    </w:p>
    <w:p w14:paraId="098B7991" w14:textId="77777777" w:rsidR="003024F8" w:rsidRPr="00907525" w:rsidRDefault="003024F8" w:rsidP="0090752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1"/>
        <w:gridCol w:w="4621"/>
      </w:tblGrid>
      <w:tr w:rsidR="001D1CCC" w:rsidRPr="00350FA8" w14:paraId="61B8F39E" w14:textId="77777777" w:rsidTr="00410FC5">
        <w:trPr>
          <w:jc w:val="center"/>
        </w:trPr>
        <w:tc>
          <w:tcPr>
            <w:tcW w:w="4621" w:type="dxa"/>
          </w:tcPr>
          <w:p w14:paraId="7F3107BD" w14:textId="77777777" w:rsidR="001D1CCC" w:rsidRPr="00350FA8" w:rsidRDefault="001D1CCC" w:rsidP="00410FC5">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 xml:space="preserve">Version: </w:t>
            </w:r>
          </w:p>
        </w:tc>
        <w:tc>
          <w:tcPr>
            <w:tcW w:w="4621" w:type="dxa"/>
          </w:tcPr>
          <w:p w14:paraId="1702CE81" w14:textId="68991787" w:rsidR="001D1CCC" w:rsidRPr="00350FA8" w:rsidRDefault="00871011"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1.</w:t>
            </w:r>
            <w:r w:rsidR="007D4367">
              <w:rPr>
                <w:rFonts w:eastAsia="Times New Roman" w:cstheme="minorHAnsi"/>
                <w:lang w:eastAsia="en-GB"/>
              </w:rPr>
              <w:t>5</w:t>
            </w:r>
          </w:p>
        </w:tc>
      </w:tr>
      <w:tr w:rsidR="001D1CCC" w:rsidRPr="00350FA8" w14:paraId="2ADB84E3" w14:textId="77777777" w:rsidTr="00410FC5">
        <w:trPr>
          <w:jc w:val="center"/>
        </w:trPr>
        <w:tc>
          <w:tcPr>
            <w:tcW w:w="4621" w:type="dxa"/>
          </w:tcPr>
          <w:p w14:paraId="0F66DC8D" w14:textId="77777777" w:rsidR="001D1CCC" w:rsidRPr="00350FA8" w:rsidRDefault="001D1CCC" w:rsidP="00410FC5">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Approved by:</w:t>
            </w:r>
          </w:p>
        </w:tc>
        <w:tc>
          <w:tcPr>
            <w:tcW w:w="4621" w:type="dxa"/>
          </w:tcPr>
          <w:p w14:paraId="7827D321" w14:textId="5814CE5A" w:rsidR="001D1CCC" w:rsidRPr="00350FA8" w:rsidRDefault="00871011"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Professor Mike Okorie</w:t>
            </w:r>
          </w:p>
        </w:tc>
      </w:tr>
      <w:tr w:rsidR="00C37E28" w:rsidRPr="00350FA8" w14:paraId="3712D117" w14:textId="77777777" w:rsidTr="00410FC5">
        <w:trPr>
          <w:jc w:val="center"/>
        </w:trPr>
        <w:tc>
          <w:tcPr>
            <w:tcW w:w="4621" w:type="dxa"/>
          </w:tcPr>
          <w:p w14:paraId="53678F64" w14:textId="130192F2" w:rsidR="00C37E28" w:rsidRPr="00350FA8" w:rsidRDefault="00C37E28"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Clinical Sponsor:</w:t>
            </w:r>
          </w:p>
        </w:tc>
        <w:tc>
          <w:tcPr>
            <w:tcW w:w="4621" w:type="dxa"/>
          </w:tcPr>
          <w:p w14:paraId="46F4C412" w14:textId="660FDFC6" w:rsidR="00C37E28" w:rsidRPr="00350FA8" w:rsidRDefault="00352AF6"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Dr Stephen Pike</w:t>
            </w:r>
          </w:p>
        </w:tc>
      </w:tr>
      <w:tr w:rsidR="001D1CCC" w:rsidRPr="00350FA8" w14:paraId="4DBF9A9B" w14:textId="77777777" w:rsidTr="00410FC5">
        <w:trPr>
          <w:jc w:val="center"/>
        </w:trPr>
        <w:tc>
          <w:tcPr>
            <w:tcW w:w="4621" w:type="dxa"/>
          </w:tcPr>
          <w:p w14:paraId="4285C185" w14:textId="77777777" w:rsidR="001D1CCC" w:rsidRPr="00350FA8" w:rsidRDefault="001D1CCC" w:rsidP="00410FC5">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 xml:space="preserve">Date approved: </w:t>
            </w:r>
          </w:p>
        </w:tc>
        <w:tc>
          <w:tcPr>
            <w:tcW w:w="4621" w:type="dxa"/>
          </w:tcPr>
          <w:p w14:paraId="205DE8FB" w14:textId="7BC55535" w:rsidR="00CD1E72" w:rsidRPr="00350FA8" w:rsidRDefault="007D4367"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27</w:t>
            </w:r>
            <w:r w:rsidR="00C33FFF">
              <w:rPr>
                <w:rFonts w:eastAsia="Times New Roman" w:cstheme="minorHAnsi"/>
                <w:lang w:eastAsia="en-GB"/>
              </w:rPr>
              <w:t>/</w:t>
            </w:r>
            <w:r w:rsidR="00091FA6">
              <w:rPr>
                <w:rFonts w:eastAsia="Times New Roman" w:cstheme="minorHAnsi"/>
                <w:lang w:eastAsia="en-GB"/>
              </w:rPr>
              <w:t>0</w:t>
            </w:r>
            <w:r>
              <w:rPr>
                <w:rFonts w:eastAsia="Times New Roman" w:cstheme="minorHAnsi"/>
                <w:lang w:eastAsia="en-GB"/>
              </w:rPr>
              <w:t>6</w:t>
            </w:r>
            <w:r w:rsidR="00C33FFF">
              <w:rPr>
                <w:rFonts w:eastAsia="Times New Roman" w:cstheme="minorHAnsi"/>
                <w:lang w:eastAsia="en-GB"/>
              </w:rPr>
              <w:t>/</w:t>
            </w:r>
            <w:r w:rsidR="009E350B">
              <w:rPr>
                <w:rFonts w:eastAsia="Times New Roman" w:cstheme="minorHAnsi"/>
                <w:lang w:eastAsia="en-GB"/>
              </w:rPr>
              <w:t>20</w:t>
            </w:r>
            <w:r w:rsidR="00C33FFF">
              <w:rPr>
                <w:rFonts w:eastAsia="Times New Roman" w:cstheme="minorHAnsi"/>
                <w:lang w:eastAsia="en-GB"/>
              </w:rPr>
              <w:t>2</w:t>
            </w:r>
            <w:r w:rsidR="00091FA6">
              <w:rPr>
                <w:rFonts w:eastAsia="Times New Roman" w:cstheme="minorHAnsi"/>
                <w:lang w:eastAsia="en-GB"/>
              </w:rPr>
              <w:t>3</w:t>
            </w:r>
          </w:p>
        </w:tc>
      </w:tr>
      <w:tr w:rsidR="001D1CCC" w:rsidRPr="00350FA8" w14:paraId="1E21CF44" w14:textId="77777777" w:rsidTr="00410FC5">
        <w:trPr>
          <w:jc w:val="center"/>
        </w:trPr>
        <w:tc>
          <w:tcPr>
            <w:tcW w:w="4621" w:type="dxa"/>
          </w:tcPr>
          <w:p w14:paraId="4A9B19B4" w14:textId="053BDE77" w:rsidR="001D1CCC" w:rsidRPr="00350FA8" w:rsidRDefault="001D1CCC" w:rsidP="00410FC5">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Name of author</w:t>
            </w:r>
            <w:r w:rsidR="00350FA8" w:rsidRPr="00350FA8">
              <w:rPr>
                <w:rFonts w:eastAsia="Times New Roman" w:cstheme="minorHAnsi"/>
                <w:lang w:eastAsia="en-GB"/>
              </w:rPr>
              <w:t>(s):</w:t>
            </w:r>
          </w:p>
        </w:tc>
        <w:tc>
          <w:tcPr>
            <w:tcW w:w="4621" w:type="dxa"/>
          </w:tcPr>
          <w:p w14:paraId="1F3A642D" w14:textId="58430271" w:rsidR="00CD1E72" w:rsidRPr="00350FA8" w:rsidRDefault="00871011" w:rsidP="00E5375B">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Vikesh Gudka</w:t>
            </w:r>
          </w:p>
        </w:tc>
      </w:tr>
      <w:tr w:rsidR="001D1CCC" w:rsidRPr="00350FA8" w14:paraId="5FDB6A45" w14:textId="77777777" w:rsidTr="00410FC5">
        <w:trPr>
          <w:jc w:val="center"/>
        </w:trPr>
        <w:tc>
          <w:tcPr>
            <w:tcW w:w="4621" w:type="dxa"/>
          </w:tcPr>
          <w:p w14:paraId="12193108" w14:textId="4BE946B5" w:rsidR="001D1CCC" w:rsidRPr="00350FA8" w:rsidRDefault="001D1CCC" w:rsidP="00350FA8">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 xml:space="preserve">Name of </w:t>
            </w:r>
            <w:r w:rsidR="00350FA8" w:rsidRPr="00350FA8">
              <w:rPr>
                <w:rFonts w:eastAsia="Times New Roman" w:cstheme="minorHAnsi"/>
                <w:lang w:eastAsia="en-GB"/>
              </w:rPr>
              <w:t>responsible committee</w:t>
            </w:r>
            <w:r w:rsidRPr="00350FA8">
              <w:rPr>
                <w:rFonts w:eastAsia="Times New Roman" w:cstheme="minorHAnsi"/>
                <w:lang w:eastAsia="en-GB"/>
              </w:rPr>
              <w:t>:</w:t>
            </w:r>
          </w:p>
        </w:tc>
        <w:tc>
          <w:tcPr>
            <w:tcW w:w="4621" w:type="dxa"/>
          </w:tcPr>
          <w:p w14:paraId="6B7AC4C3" w14:textId="742506F5" w:rsidR="001D1CCC" w:rsidRPr="00350FA8" w:rsidRDefault="00871011" w:rsidP="00410FC5">
            <w:pPr>
              <w:overflowPunct w:val="0"/>
              <w:autoSpaceDE w:val="0"/>
              <w:autoSpaceDN w:val="0"/>
              <w:adjustRightInd w:val="0"/>
              <w:spacing w:after="0" w:line="240" w:lineRule="auto"/>
              <w:textAlignment w:val="baseline"/>
              <w:rPr>
                <w:rFonts w:eastAsia="Times New Roman" w:cstheme="minorHAnsi"/>
                <w:lang w:eastAsia="en-GB"/>
              </w:rPr>
            </w:pPr>
            <w:proofErr w:type="spellStart"/>
            <w:r>
              <w:rPr>
                <w:rFonts w:eastAsia="Times New Roman" w:cstheme="minorHAnsi"/>
                <w:lang w:eastAsia="en-GB"/>
              </w:rPr>
              <w:t>Medicnes</w:t>
            </w:r>
            <w:proofErr w:type="spellEnd"/>
            <w:r>
              <w:rPr>
                <w:rFonts w:eastAsia="Times New Roman" w:cstheme="minorHAnsi"/>
                <w:lang w:eastAsia="en-GB"/>
              </w:rPr>
              <w:t xml:space="preserve"> Governance Committee</w:t>
            </w:r>
            <w:r w:rsidR="00352AF6">
              <w:rPr>
                <w:rFonts w:eastAsia="Times New Roman" w:cstheme="minorHAnsi"/>
                <w:lang w:eastAsia="en-GB"/>
              </w:rPr>
              <w:t xml:space="preserve"> </w:t>
            </w:r>
            <w:proofErr w:type="spellStart"/>
            <w:r w:rsidR="00352AF6">
              <w:rPr>
                <w:rFonts w:eastAsia="Times New Roman" w:cstheme="minorHAnsi"/>
                <w:lang w:eastAsia="en-GB"/>
              </w:rPr>
              <w:t>UHSx</w:t>
            </w:r>
            <w:proofErr w:type="spellEnd"/>
            <w:r w:rsidR="00352AF6">
              <w:rPr>
                <w:rFonts w:eastAsia="Times New Roman" w:cstheme="minorHAnsi"/>
                <w:lang w:eastAsia="en-GB"/>
              </w:rPr>
              <w:t xml:space="preserve"> and NHS Sussex Programme Board for Covid19 Treatments in Non-</w:t>
            </w:r>
            <w:proofErr w:type="spellStart"/>
            <w:r w:rsidR="00352AF6">
              <w:rPr>
                <w:rFonts w:eastAsia="Times New Roman" w:cstheme="minorHAnsi"/>
                <w:lang w:eastAsia="en-GB"/>
              </w:rPr>
              <w:t>hospitalsied</w:t>
            </w:r>
            <w:proofErr w:type="spellEnd"/>
            <w:r w:rsidR="00352AF6">
              <w:rPr>
                <w:rFonts w:eastAsia="Times New Roman" w:cstheme="minorHAnsi"/>
                <w:lang w:eastAsia="en-GB"/>
              </w:rPr>
              <w:t xml:space="preserve"> Patients</w:t>
            </w:r>
          </w:p>
        </w:tc>
      </w:tr>
      <w:tr w:rsidR="001D1CCC" w:rsidRPr="00350FA8" w14:paraId="693D313E" w14:textId="77777777" w:rsidTr="00410FC5">
        <w:trPr>
          <w:jc w:val="center"/>
        </w:trPr>
        <w:tc>
          <w:tcPr>
            <w:tcW w:w="4621" w:type="dxa"/>
          </w:tcPr>
          <w:p w14:paraId="7F88B599" w14:textId="77777777" w:rsidR="001D1CCC" w:rsidRPr="00350FA8" w:rsidRDefault="001D1CCC" w:rsidP="00410FC5">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 xml:space="preserve">Date issued: </w:t>
            </w:r>
          </w:p>
        </w:tc>
        <w:tc>
          <w:tcPr>
            <w:tcW w:w="4621" w:type="dxa"/>
          </w:tcPr>
          <w:p w14:paraId="3AABBB4C" w14:textId="3B84ACBF" w:rsidR="00CD1E72" w:rsidRPr="00350FA8" w:rsidRDefault="007D4367"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27</w:t>
            </w:r>
            <w:r w:rsidR="00A25364">
              <w:rPr>
                <w:rFonts w:eastAsia="Times New Roman" w:cstheme="minorHAnsi"/>
                <w:lang w:eastAsia="en-GB"/>
              </w:rPr>
              <w:t>/</w:t>
            </w:r>
            <w:r w:rsidR="00091FA6">
              <w:rPr>
                <w:rFonts w:eastAsia="Times New Roman" w:cstheme="minorHAnsi"/>
                <w:lang w:eastAsia="en-GB"/>
              </w:rPr>
              <w:t>0</w:t>
            </w:r>
            <w:r>
              <w:rPr>
                <w:rFonts w:eastAsia="Times New Roman" w:cstheme="minorHAnsi"/>
                <w:lang w:eastAsia="en-GB"/>
              </w:rPr>
              <w:t>6</w:t>
            </w:r>
            <w:r w:rsidR="00A25364">
              <w:rPr>
                <w:rFonts w:eastAsia="Times New Roman" w:cstheme="minorHAnsi"/>
                <w:lang w:eastAsia="en-GB"/>
              </w:rPr>
              <w:t>/202</w:t>
            </w:r>
            <w:r w:rsidR="00091FA6">
              <w:rPr>
                <w:rFonts w:eastAsia="Times New Roman" w:cstheme="minorHAnsi"/>
                <w:lang w:eastAsia="en-GB"/>
              </w:rPr>
              <w:t>3</w:t>
            </w:r>
          </w:p>
        </w:tc>
      </w:tr>
      <w:tr w:rsidR="001D1CCC" w:rsidRPr="00350FA8" w14:paraId="08F5FEE7" w14:textId="77777777" w:rsidTr="00410FC5">
        <w:trPr>
          <w:jc w:val="center"/>
        </w:trPr>
        <w:tc>
          <w:tcPr>
            <w:tcW w:w="4621" w:type="dxa"/>
          </w:tcPr>
          <w:p w14:paraId="6B97012C" w14:textId="77777777" w:rsidR="001D1CCC" w:rsidRPr="00350FA8" w:rsidRDefault="001D1CCC" w:rsidP="00410FC5">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Review date:</w:t>
            </w:r>
          </w:p>
        </w:tc>
        <w:tc>
          <w:tcPr>
            <w:tcW w:w="4621" w:type="dxa"/>
          </w:tcPr>
          <w:p w14:paraId="1B14D32C" w14:textId="6E060A8B" w:rsidR="001D1CCC" w:rsidRPr="00350FA8" w:rsidRDefault="00EB7386"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At next NHSE Policy</w:t>
            </w:r>
            <w:r w:rsidR="007D4367">
              <w:rPr>
                <w:rFonts w:eastAsia="Times New Roman" w:cstheme="minorHAnsi"/>
                <w:lang w:eastAsia="en-GB"/>
              </w:rPr>
              <w:t xml:space="preserve"> or NICE TA</w:t>
            </w:r>
            <w:r>
              <w:rPr>
                <w:rFonts w:eastAsia="Times New Roman" w:cstheme="minorHAnsi"/>
                <w:lang w:eastAsia="en-GB"/>
              </w:rPr>
              <w:t xml:space="preserve"> </w:t>
            </w:r>
            <w:r w:rsidR="005A1A36">
              <w:rPr>
                <w:rFonts w:eastAsia="Times New Roman" w:cstheme="minorHAnsi"/>
                <w:lang w:eastAsia="en-GB"/>
              </w:rPr>
              <w:t>u</w:t>
            </w:r>
            <w:r>
              <w:rPr>
                <w:rFonts w:eastAsia="Times New Roman" w:cstheme="minorHAnsi"/>
                <w:lang w:eastAsia="en-GB"/>
              </w:rPr>
              <w:t>pdate</w:t>
            </w:r>
          </w:p>
        </w:tc>
      </w:tr>
      <w:tr w:rsidR="001D1CCC" w:rsidRPr="00350FA8" w14:paraId="2B252991" w14:textId="77777777" w:rsidTr="00410FC5">
        <w:trPr>
          <w:jc w:val="center"/>
        </w:trPr>
        <w:tc>
          <w:tcPr>
            <w:tcW w:w="4621" w:type="dxa"/>
          </w:tcPr>
          <w:p w14:paraId="60409512" w14:textId="77777777" w:rsidR="001D1CCC" w:rsidRPr="00350FA8" w:rsidRDefault="001D1CCC" w:rsidP="00410FC5">
            <w:pPr>
              <w:overflowPunct w:val="0"/>
              <w:autoSpaceDE w:val="0"/>
              <w:autoSpaceDN w:val="0"/>
              <w:adjustRightInd w:val="0"/>
              <w:spacing w:after="0" w:line="240" w:lineRule="auto"/>
              <w:textAlignment w:val="baseline"/>
              <w:rPr>
                <w:rFonts w:eastAsia="Times New Roman" w:cstheme="minorHAnsi"/>
                <w:lang w:eastAsia="en-GB"/>
              </w:rPr>
            </w:pPr>
            <w:r w:rsidRPr="00350FA8">
              <w:rPr>
                <w:rFonts w:eastAsia="Times New Roman" w:cstheme="minorHAnsi"/>
                <w:lang w:eastAsia="en-GB"/>
              </w:rPr>
              <w:t>Target audience:</w:t>
            </w:r>
          </w:p>
        </w:tc>
        <w:tc>
          <w:tcPr>
            <w:tcW w:w="4621" w:type="dxa"/>
          </w:tcPr>
          <w:p w14:paraId="28A3B360" w14:textId="24F70310" w:rsidR="001D1CCC" w:rsidRPr="00350FA8" w:rsidRDefault="00871011" w:rsidP="00410FC5">
            <w:pPr>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Covid19 Medicines Delivery Unit</w:t>
            </w:r>
            <w:r w:rsidR="00DC75B1">
              <w:rPr>
                <w:rFonts w:eastAsia="Times New Roman" w:cstheme="minorHAnsi"/>
                <w:lang w:eastAsia="en-GB"/>
              </w:rPr>
              <w:t xml:space="preserve"> (CMDU)</w:t>
            </w:r>
            <w:r>
              <w:rPr>
                <w:rFonts w:eastAsia="Times New Roman" w:cstheme="minorHAnsi"/>
                <w:lang w:eastAsia="en-GB"/>
              </w:rPr>
              <w:t xml:space="preserve"> </w:t>
            </w:r>
            <w:r w:rsidR="009E350B">
              <w:rPr>
                <w:rFonts w:eastAsia="Times New Roman" w:cstheme="minorHAnsi"/>
                <w:lang w:eastAsia="en-GB"/>
              </w:rPr>
              <w:t>Clinical</w:t>
            </w:r>
            <w:r>
              <w:rPr>
                <w:rFonts w:eastAsia="Times New Roman" w:cstheme="minorHAnsi"/>
                <w:lang w:eastAsia="en-GB"/>
              </w:rPr>
              <w:t xml:space="preserve"> Assessors</w:t>
            </w:r>
          </w:p>
        </w:tc>
      </w:tr>
    </w:tbl>
    <w:p w14:paraId="40239C24" w14:textId="77777777" w:rsidR="00350FA8" w:rsidRPr="00350FA8" w:rsidRDefault="00350FA8" w:rsidP="001D1CCC">
      <w:pPr>
        <w:rPr>
          <w:rFonts w:cstheme="minorHAnsi"/>
          <w:sz w:val="4"/>
        </w:rPr>
      </w:pPr>
    </w:p>
    <w:p w14:paraId="7D5416C1" w14:textId="77777777" w:rsidR="00485C5F" w:rsidRDefault="00485C5F" w:rsidP="0034139F">
      <w:pPr>
        <w:spacing w:after="0"/>
        <w:rPr>
          <w:rFonts w:cstheme="minorHAnsi"/>
          <w:b/>
        </w:rPr>
      </w:pPr>
    </w:p>
    <w:p w14:paraId="0097F689" w14:textId="62CD6978" w:rsidR="0034139F" w:rsidRDefault="0034139F" w:rsidP="0034139F">
      <w:pPr>
        <w:spacing w:after="0"/>
        <w:rPr>
          <w:rFonts w:cstheme="minorHAnsi"/>
          <w:b/>
        </w:rPr>
      </w:pPr>
      <w:r w:rsidRPr="0034139F">
        <w:rPr>
          <w:rFonts w:cstheme="minorHAnsi"/>
          <w:b/>
        </w:rPr>
        <w:t>Commissioning position</w:t>
      </w:r>
    </w:p>
    <w:p w14:paraId="14717BB3" w14:textId="77777777" w:rsidR="00485C5F" w:rsidRPr="0034139F" w:rsidRDefault="00485C5F" w:rsidP="0034139F">
      <w:pPr>
        <w:spacing w:after="0"/>
        <w:rPr>
          <w:rFonts w:cstheme="minorHAnsi"/>
          <w:b/>
        </w:rPr>
      </w:pPr>
    </w:p>
    <w:p w14:paraId="60D983D0" w14:textId="66FF3A88" w:rsidR="0034139F" w:rsidRDefault="0034139F" w:rsidP="0034139F">
      <w:pPr>
        <w:spacing w:after="0"/>
        <w:rPr>
          <w:rFonts w:cstheme="minorHAnsi"/>
        </w:rPr>
      </w:pPr>
      <w:r w:rsidRPr="0034139F">
        <w:rPr>
          <w:rFonts w:cstheme="minorHAnsi"/>
        </w:rPr>
        <w:t xml:space="preserve">Antivirals or </w:t>
      </w:r>
      <w:r w:rsidR="00C97542">
        <w:rPr>
          <w:rFonts w:cstheme="minorHAnsi"/>
        </w:rPr>
        <w:t>n</w:t>
      </w:r>
      <w:r w:rsidRPr="0034139F">
        <w:rPr>
          <w:rFonts w:cstheme="minorHAnsi"/>
        </w:rPr>
        <w:t xml:space="preserve">eutralising </w:t>
      </w:r>
      <w:r w:rsidR="00C97542">
        <w:rPr>
          <w:rFonts w:cstheme="minorHAnsi"/>
        </w:rPr>
        <w:t>M</w:t>
      </w:r>
      <w:r w:rsidRPr="0034139F">
        <w:rPr>
          <w:rFonts w:cstheme="minorHAnsi"/>
        </w:rPr>
        <w:t xml:space="preserve">onoclonal </w:t>
      </w:r>
      <w:r w:rsidR="00C97542">
        <w:rPr>
          <w:rFonts w:cstheme="minorHAnsi"/>
        </w:rPr>
        <w:t>A</w:t>
      </w:r>
      <w:r w:rsidRPr="0034139F">
        <w:rPr>
          <w:rFonts w:cstheme="minorHAnsi"/>
        </w:rPr>
        <w:t>ntibodies (</w:t>
      </w:r>
      <w:proofErr w:type="spellStart"/>
      <w:r w:rsidRPr="0034139F">
        <w:rPr>
          <w:rFonts w:cstheme="minorHAnsi"/>
        </w:rPr>
        <w:t>nMABs</w:t>
      </w:r>
      <w:proofErr w:type="spellEnd"/>
      <w:r w:rsidRPr="0034139F">
        <w:rPr>
          <w:rFonts w:cstheme="minorHAnsi"/>
        </w:rPr>
        <w:t>) are recommended to be available as a treatment option through routine commissioning for non-hospitalised adults with COVID-19 treated in accordance with the criteria set out in this document.</w:t>
      </w:r>
    </w:p>
    <w:p w14:paraId="6652875E" w14:textId="77777777" w:rsidR="00907525" w:rsidRPr="0034139F" w:rsidRDefault="00907525" w:rsidP="0034139F">
      <w:pPr>
        <w:spacing w:after="0"/>
        <w:rPr>
          <w:rFonts w:cstheme="minorHAnsi"/>
        </w:rPr>
      </w:pPr>
    </w:p>
    <w:p w14:paraId="77F08CD5" w14:textId="6257BB24" w:rsidR="00907525" w:rsidRDefault="0034139F" w:rsidP="0034139F">
      <w:pPr>
        <w:spacing w:after="0"/>
        <w:rPr>
          <w:rFonts w:cstheme="minorHAnsi"/>
        </w:rPr>
      </w:pPr>
      <w:r w:rsidRPr="0034139F">
        <w:rPr>
          <w:rFonts w:cstheme="minorHAnsi"/>
        </w:rPr>
        <w:t xml:space="preserve">This policy applies to non-hospitalised patients with COVID-19 who are symptomatic and </w:t>
      </w:r>
      <w:r w:rsidRPr="00EC34D6">
        <w:rPr>
          <w:rFonts w:cstheme="minorHAnsi"/>
          <w:u w:val="single"/>
        </w:rPr>
        <w:t>showing no evidence of clinical recovery</w:t>
      </w:r>
      <w:r w:rsidRPr="0034139F">
        <w:rPr>
          <w:rFonts w:cstheme="minorHAnsi"/>
        </w:rPr>
        <w:t xml:space="preserve"> and covers the following treatment options:</w:t>
      </w:r>
    </w:p>
    <w:p w14:paraId="7DE93F0F" w14:textId="77777777" w:rsidR="00907525" w:rsidRPr="0034139F" w:rsidRDefault="00907525" w:rsidP="0034139F">
      <w:pPr>
        <w:spacing w:after="0"/>
        <w:rPr>
          <w:rFonts w:cstheme="minorHAnsi"/>
        </w:rPr>
      </w:pPr>
    </w:p>
    <w:p w14:paraId="65282112" w14:textId="7469AB58" w:rsidR="0034139F" w:rsidRPr="00BA7C36" w:rsidRDefault="003257AB" w:rsidP="00BA7C36">
      <w:pPr>
        <w:pStyle w:val="ListParagraph"/>
        <w:numPr>
          <w:ilvl w:val="0"/>
          <w:numId w:val="46"/>
        </w:numPr>
        <w:spacing w:after="0"/>
        <w:rPr>
          <w:rFonts w:cstheme="minorHAnsi"/>
        </w:rPr>
      </w:pPr>
      <w:r w:rsidRPr="00BA7C36">
        <w:rPr>
          <w:rFonts w:cstheme="minorHAnsi"/>
        </w:rPr>
        <w:t xml:space="preserve">First-line: </w:t>
      </w:r>
      <w:r w:rsidR="00C4640E" w:rsidRPr="00BA7C36">
        <w:rPr>
          <w:rFonts w:cstheme="minorHAnsi"/>
        </w:rPr>
        <w:t>Nirmatrelvir</w:t>
      </w:r>
      <w:r w:rsidR="0034139F" w:rsidRPr="00BA7C36">
        <w:rPr>
          <w:rFonts w:cstheme="minorHAnsi"/>
        </w:rPr>
        <w:t xml:space="preserve"> plus </w:t>
      </w:r>
      <w:r w:rsidR="00C97542">
        <w:rPr>
          <w:rFonts w:cstheme="minorHAnsi"/>
        </w:rPr>
        <w:t>r</w:t>
      </w:r>
      <w:r w:rsidRPr="00BA7C36">
        <w:rPr>
          <w:rFonts w:cstheme="minorHAnsi"/>
        </w:rPr>
        <w:t>itonavir (Paxlovid</w:t>
      </w:r>
      <w:r w:rsidR="00C97542">
        <w:rPr>
          <w:rFonts w:cstheme="minorHAnsi"/>
        </w:rPr>
        <w:t>®</w:t>
      </w:r>
      <w:r w:rsidRPr="00BA7C36">
        <w:rPr>
          <w:rFonts w:cstheme="minorHAnsi"/>
        </w:rPr>
        <w:t xml:space="preserve">, </w:t>
      </w:r>
      <w:r w:rsidR="007D4367">
        <w:rPr>
          <w:rFonts w:cstheme="minorHAnsi"/>
        </w:rPr>
        <w:t xml:space="preserve">oral </w:t>
      </w:r>
      <w:r w:rsidRPr="00BA7C36">
        <w:rPr>
          <w:rFonts w:cstheme="minorHAnsi"/>
        </w:rPr>
        <w:t xml:space="preserve">antiviral) </w:t>
      </w:r>
      <w:r w:rsidR="007D4367">
        <w:rPr>
          <w:rFonts w:cstheme="minorHAnsi"/>
        </w:rPr>
        <w:t>– As per NICE TA 878</w:t>
      </w:r>
      <w:r w:rsidR="00A35846">
        <w:rPr>
          <w:rFonts w:cstheme="minorHAnsi"/>
          <w:vertAlign w:val="superscript"/>
        </w:rPr>
        <w:t>1</w:t>
      </w:r>
    </w:p>
    <w:p w14:paraId="0226A4FF" w14:textId="14DF52EC" w:rsidR="00BA7C36" w:rsidRDefault="007D4367" w:rsidP="00BA7C36">
      <w:pPr>
        <w:pStyle w:val="ListParagraph"/>
        <w:numPr>
          <w:ilvl w:val="0"/>
          <w:numId w:val="46"/>
        </w:numPr>
        <w:spacing w:after="0"/>
        <w:rPr>
          <w:rFonts w:cstheme="minorHAnsi"/>
        </w:rPr>
      </w:pPr>
      <w:r>
        <w:rPr>
          <w:rFonts w:cstheme="minorHAnsi"/>
        </w:rPr>
        <w:t xml:space="preserve">Second Line: </w:t>
      </w:r>
      <w:proofErr w:type="spellStart"/>
      <w:r w:rsidR="00BA7C36">
        <w:rPr>
          <w:rFonts w:cstheme="minorHAnsi"/>
        </w:rPr>
        <w:t>Sortorvimab</w:t>
      </w:r>
      <w:proofErr w:type="spellEnd"/>
      <w:r w:rsidR="00F67FBC">
        <w:rPr>
          <w:rFonts w:cstheme="minorHAnsi"/>
          <w:vertAlign w:val="superscript"/>
        </w:rPr>
        <w:t>*</w:t>
      </w:r>
      <w:r w:rsidR="00BA7C36">
        <w:rPr>
          <w:rFonts w:cstheme="minorHAnsi"/>
        </w:rPr>
        <w:t xml:space="preserve"> (</w:t>
      </w:r>
      <w:r w:rsidR="00C97542">
        <w:rPr>
          <w:rFonts w:cstheme="minorHAnsi"/>
        </w:rPr>
        <w:t>n</w:t>
      </w:r>
      <w:r w:rsidR="00BA7C36">
        <w:rPr>
          <w:rFonts w:cstheme="minorHAnsi"/>
        </w:rPr>
        <w:t xml:space="preserve">eutralising Monoclonal Antibody – </w:t>
      </w:r>
      <w:proofErr w:type="spellStart"/>
      <w:r w:rsidR="00BA7C36">
        <w:rPr>
          <w:rFonts w:cstheme="minorHAnsi"/>
        </w:rPr>
        <w:t>nMAB</w:t>
      </w:r>
      <w:proofErr w:type="spellEnd"/>
      <w:r w:rsidR="00BA7C36">
        <w:rPr>
          <w:rFonts w:cstheme="minorHAnsi"/>
        </w:rPr>
        <w:t>)</w:t>
      </w:r>
      <w:r>
        <w:rPr>
          <w:rFonts w:cstheme="minorHAnsi"/>
        </w:rPr>
        <w:t xml:space="preserve"> – As per NICE TA 878</w:t>
      </w:r>
      <w:r w:rsidR="00A35846">
        <w:rPr>
          <w:rFonts w:cstheme="minorHAnsi"/>
          <w:vertAlign w:val="superscript"/>
        </w:rPr>
        <w:t>1</w:t>
      </w:r>
      <w:r>
        <w:rPr>
          <w:rFonts w:cstheme="minorHAnsi"/>
        </w:rPr>
        <w:t xml:space="preserve"> </w:t>
      </w:r>
    </w:p>
    <w:p w14:paraId="20E0A3B9" w14:textId="68F70EEB" w:rsidR="00F67FBC" w:rsidRDefault="007D4367" w:rsidP="00BA7C36">
      <w:pPr>
        <w:pStyle w:val="ListParagraph"/>
        <w:numPr>
          <w:ilvl w:val="0"/>
          <w:numId w:val="46"/>
        </w:numPr>
        <w:spacing w:after="0"/>
        <w:rPr>
          <w:rFonts w:cstheme="minorHAnsi"/>
        </w:rPr>
      </w:pPr>
      <w:r>
        <w:rPr>
          <w:rFonts w:cstheme="minorHAnsi"/>
        </w:rPr>
        <w:t xml:space="preserve">Third Line: </w:t>
      </w:r>
      <w:proofErr w:type="spellStart"/>
      <w:r w:rsidRPr="00BA7C36">
        <w:rPr>
          <w:rFonts w:cstheme="minorHAnsi"/>
        </w:rPr>
        <w:t>Molnupiravir</w:t>
      </w:r>
      <w:proofErr w:type="spellEnd"/>
      <w:r w:rsidR="00F67FBC">
        <w:rPr>
          <w:rFonts w:cstheme="minorHAnsi"/>
          <w:vertAlign w:val="superscript"/>
        </w:rPr>
        <w:t>#</w:t>
      </w:r>
      <w:r w:rsidRPr="00BA7C36">
        <w:rPr>
          <w:rFonts w:cstheme="minorHAnsi"/>
        </w:rPr>
        <w:t xml:space="preserve"> (</w:t>
      </w:r>
      <w:r>
        <w:rPr>
          <w:rFonts w:cstheme="minorHAnsi"/>
        </w:rPr>
        <w:t xml:space="preserve">oral </w:t>
      </w:r>
      <w:r w:rsidRPr="00BA7C36">
        <w:rPr>
          <w:rFonts w:cstheme="minorHAnsi"/>
        </w:rPr>
        <w:t>antiviral)</w:t>
      </w:r>
      <w:r>
        <w:rPr>
          <w:rFonts w:cstheme="minorHAnsi"/>
        </w:rPr>
        <w:t xml:space="preserve"> – As per Interim Clinica</w:t>
      </w:r>
      <w:r w:rsidR="00FF7CE9">
        <w:rPr>
          <w:rFonts w:cstheme="minorHAnsi"/>
        </w:rPr>
        <w:t>l</w:t>
      </w:r>
      <w:r>
        <w:rPr>
          <w:rFonts w:cstheme="minorHAnsi"/>
        </w:rPr>
        <w:t xml:space="preserve"> Commissioning Policy</w:t>
      </w:r>
      <w:r w:rsidR="00FF7CE9">
        <w:rPr>
          <w:rFonts w:cstheme="minorHAnsi"/>
        </w:rPr>
        <w:t xml:space="preserve"> PR00453</w:t>
      </w:r>
      <w:r w:rsidR="00A35846">
        <w:rPr>
          <w:rFonts w:cstheme="minorHAnsi"/>
          <w:vertAlign w:val="superscript"/>
        </w:rPr>
        <w:t>2</w:t>
      </w:r>
    </w:p>
    <w:p w14:paraId="58890D46" w14:textId="77777777" w:rsidR="00F67FBC" w:rsidRDefault="00F67FBC" w:rsidP="00F67FBC">
      <w:pPr>
        <w:spacing w:after="0"/>
        <w:rPr>
          <w:rFonts w:cstheme="minorHAnsi"/>
        </w:rPr>
      </w:pPr>
    </w:p>
    <w:p w14:paraId="3876CD60" w14:textId="37D8B34C" w:rsidR="00F67FBC" w:rsidRDefault="00F67FBC" w:rsidP="00F67FBC">
      <w:pPr>
        <w:spacing w:after="0"/>
        <w:rPr>
          <w:rFonts w:cstheme="minorHAnsi"/>
        </w:rPr>
      </w:pPr>
      <w:r>
        <w:rPr>
          <w:rFonts w:cstheme="minorHAnsi"/>
          <w:vertAlign w:val="superscript"/>
        </w:rPr>
        <w:t>*</w:t>
      </w:r>
      <w:r w:rsidRPr="00F67FBC">
        <w:rPr>
          <w:rFonts w:cstheme="minorHAnsi"/>
        </w:rPr>
        <w:t>Sotro</w:t>
      </w:r>
      <w:r>
        <w:rPr>
          <w:rFonts w:cstheme="minorHAnsi"/>
        </w:rPr>
        <w:t>vimab is only recommended if Nirmatrelvir plus ritonavir is contraindicated or clinically unsuitable.</w:t>
      </w:r>
    </w:p>
    <w:p w14:paraId="5216411E" w14:textId="3C50633A" w:rsidR="00F67FBC" w:rsidRDefault="00F67FBC" w:rsidP="00F67FBC">
      <w:pPr>
        <w:spacing w:after="0"/>
        <w:rPr>
          <w:rFonts w:cstheme="minorHAnsi"/>
        </w:rPr>
      </w:pPr>
      <w:r>
        <w:rPr>
          <w:rFonts w:cstheme="minorHAnsi"/>
          <w:vertAlign w:val="superscript"/>
        </w:rPr>
        <w:t>#</w:t>
      </w:r>
      <w:r>
        <w:rPr>
          <w:rFonts w:cstheme="minorHAnsi"/>
        </w:rPr>
        <w:t xml:space="preserve">Molnupiravir is only recommended if Nirmatrelvir plus ritonavir </w:t>
      </w:r>
      <w:r w:rsidR="00A86FC8">
        <w:rPr>
          <w:rFonts w:cstheme="minorHAnsi"/>
        </w:rPr>
        <w:t>or Sotrovimab are contraindicated or clinically unsuitable.</w:t>
      </w:r>
    </w:p>
    <w:p w14:paraId="5333A613" w14:textId="77777777" w:rsidR="00584776" w:rsidRDefault="00584776" w:rsidP="00F67FBC">
      <w:pPr>
        <w:spacing w:after="0"/>
        <w:rPr>
          <w:rFonts w:cstheme="minorHAnsi"/>
        </w:rPr>
      </w:pPr>
    </w:p>
    <w:p w14:paraId="11C37D73" w14:textId="54425699" w:rsidR="00584776" w:rsidRPr="00F67FBC" w:rsidRDefault="00584776" w:rsidP="00F67FBC">
      <w:pPr>
        <w:spacing w:after="0"/>
        <w:rPr>
          <w:rFonts w:cstheme="minorHAnsi"/>
        </w:rPr>
      </w:pPr>
      <w:r>
        <w:rPr>
          <w:rFonts w:cstheme="minorHAnsi"/>
        </w:rPr>
        <w:t xml:space="preserve">There will be internal and external factors regarding service demands that may require us to reorganise the treatment options temporarily. This will be assessed at the time and a decision will be made considering risks to patients and service. This will then be communicated to all stakeholders. </w:t>
      </w:r>
    </w:p>
    <w:p w14:paraId="4B76BF0B" w14:textId="3F9E56DA" w:rsidR="00BA7C36" w:rsidRPr="00F67FBC" w:rsidRDefault="00F67FBC" w:rsidP="00F67FBC">
      <w:pPr>
        <w:spacing w:after="0"/>
        <w:rPr>
          <w:rFonts w:cstheme="minorHAnsi"/>
        </w:rPr>
      </w:pPr>
      <w:r>
        <w:rPr>
          <w:rFonts w:cstheme="minorHAnsi"/>
        </w:rPr>
        <w:t xml:space="preserve"> </w:t>
      </w:r>
    </w:p>
    <w:p w14:paraId="1FF33521" w14:textId="3B917CE2" w:rsidR="00BA7C36" w:rsidRDefault="0034139F" w:rsidP="000C06DB">
      <w:pPr>
        <w:spacing w:after="0"/>
        <w:rPr>
          <w:rFonts w:cstheme="minorHAnsi"/>
        </w:rPr>
      </w:pPr>
      <w:r w:rsidRPr="0034139F">
        <w:rPr>
          <w:rFonts w:cstheme="minorHAnsi"/>
        </w:rPr>
        <w:t xml:space="preserve">Combination treatment with an </w:t>
      </w:r>
      <w:proofErr w:type="spellStart"/>
      <w:r w:rsidRPr="0034139F">
        <w:rPr>
          <w:rFonts w:cstheme="minorHAnsi"/>
        </w:rPr>
        <w:t>nMAB</w:t>
      </w:r>
      <w:proofErr w:type="spellEnd"/>
      <w:r w:rsidRPr="0034139F">
        <w:rPr>
          <w:rFonts w:cstheme="minorHAnsi"/>
        </w:rPr>
        <w:t xml:space="preserve"> and an antiviral is NOT routinely recommended</w:t>
      </w:r>
      <w:r w:rsidR="00C3205E">
        <w:rPr>
          <w:rFonts w:cstheme="minorHAnsi"/>
        </w:rPr>
        <w:t xml:space="preserve">. </w:t>
      </w:r>
      <w:r w:rsidR="00BA7C36" w:rsidRPr="00BA7C36">
        <w:rPr>
          <w:rFonts w:cstheme="minorHAnsi"/>
        </w:rPr>
        <w:t xml:space="preserve">Patients who have previously received treatment with an antiviral or </w:t>
      </w:r>
      <w:proofErr w:type="spellStart"/>
      <w:r w:rsidR="00BA7C36" w:rsidRPr="00BA7C36">
        <w:rPr>
          <w:rFonts w:cstheme="minorHAnsi"/>
        </w:rPr>
        <w:t>nMAB</w:t>
      </w:r>
      <w:proofErr w:type="spellEnd"/>
      <w:r w:rsidR="00BA7C36" w:rsidRPr="00BA7C36">
        <w:rPr>
          <w:rFonts w:cstheme="minorHAnsi"/>
        </w:rPr>
        <w:t xml:space="preserve">, and who meet the eligibility criteria within this </w:t>
      </w:r>
      <w:r w:rsidR="00F15854">
        <w:rPr>
          <w:rFonts w:cstheme="minorHAnsi"/>
        </w:rPr>
        <w:t>guideline</w:t>
      </w:r>
      <w:r w:rsidR="00BA7C36" w:rsidRPr="00BA7C36">
        <w:rPr>
          <w:rFonts w:cstheme="minorHAnsi"/>
        </w:rPr>
        <w:t>, may receive treatment for a subsequent infective episode, if clinically appropriate.</w:t>
      </w:r>
    </w:p>
    <w:p w14:paraId="50FA7FF5" w14:textId="77777777" w:rsidR="00BA7C36" w:rsidRDefault="00BA7C36" w:rsidP="000C06DB">
      <w:pPr>
        <w:spacing w:after="0"/>
        <w:rPr>
          <w:rFonts w:cstheme="minorHAnsi"/>
        </w:rPr>
      </w:pPr>
    </w:p>
    <w:p w14:paraId="28670B73" w14:textId="55EBA8BE" w:rsidR="0034139F" w:rsidRDefault="0034139F" w:rsidP="000C06DB">
      <w:pPr>
        <w:spacing w:after="0"/>
        <w:rPr>
          <w:rFonts w:cstheme="minorHAnsi"/>
        </w:rPr>
      </w:pPr>
      <w:r w:rsidRPr="0034139F">
        <w:rPr>
          <w:rFonts w:cstheme="minorHAnsi"/>
        </w:rPr>
        <w:t xml:space="preserve">Where patients are ineligible for treatment under this policy, recruitment to the </w:t>
      </w:r>
      <w:hyperlink r:id="rId8" w:history="1">
        <w:r w:rsidRPr="0034139F">
          <w:rPr>
            <w:rStyle w:val="Hyperlink"/>
            <w:rFonts w:cstheme="minorHAnsi"/>
          </w:rPr>
          <w:t>PANORAMIC trial</w:t>
        </w:r>
      </w:hyperlink>
      <w:r w:rsidRPr="0034139F">
        <w:rPr>
          <w:rFonts w:cstheme="minorHAnsi"/>
        </w:rPr>
        <w:t xml:space="preserve">, which is building the evidence for novel oral antivirals in a broader cohort of </w:t>
      </w:r>
      <w:proofErr w:type="gramStart"/>
      <w:r w:rsidRPr="0034139F">
        <w:rPr>
          <w:rFonts w:cstheme="minorHAnsi"/>
        </w:rPr>
        <w:t>at risk</w:t>
      </w:r>
      <w:proofErr w:type="gramEnd"/>
      <w:r w:rsidRPr="0034139F">
        <w:rPr>
          <w:rFonts w:cstheme="minorHAnsi"/>
        </w:rPr>
        <w:t xml:space="preserve"> patients, should be support</w:t>
      </w:r>
      <w:r w:rsidR="00C4640E">
        <w:rPr>
          <w:rFonts w:cstheme="minorHAnsi"/>
        </w:rPr>
        <w:t>ed.</w:t>
      </w:r>
    </w:p>
    <w:p w14:paraId="08FC2FB6" w14:textId="77777777" w:rsidR="00C3205E" w:rsidRDefault="00C3205E" w:rsidP="000C06DB">
      <w:pPr>
        <w:spacing w:after="0"/>
        <w:rPr>
          <w:rFonts w:cstheme="minorHAnsi"/>
        </w:rPr>
      </w:pPr>
    </w:p>
    <w:p w14:paraId="333E6614" w14:textId="77777777" w:rsidR="00F15854" w:rsidRDefault="001822EF" w:rsidP="001819E1">
      <w:pPr>
        <w:spacing w:after="0"/>
        <w:rPr>
          <w:rFonts w:cstheme="minorHAnsi"/>
        </w:rPr>
      </w:pPr>
      <w:r>
        <w:rPr>
          <w:rFonts w:cstheme="minorHAnsi"/>
        </w:rPr>
        <w:t xml:space="preserve">Remdesivir is </w:t>
      </w:r>
      <w:r w:rsidR="00816ABA">
        <w:rPr>
          <w:rFonts w:cstheme="minorHAnsi"/>
        </w:rPr>
        <w:t xml:space="preserve">currently </w:t>
      </w:r>
      <w:r>
        <w:rPr>
          <w:rFonts w:cstheme="minorHAnsi"/>
        </w:rPr>
        <w:t xml:space="preserve">not considered within the scope </w:t>
      </w:r>
      <w:r w:rsidR="00EC34D6">
        <w:rPr>
          <w:rFonts w:cstheme="minorHAnsi"/>
        </w:rPr>
        <w:t>of this guidelines</w:t>
      </w:r>
      <w:r w:rsidR="00DD3301">
        <w:rPr>
          <w:rFonts w:cstheme="minorHAnsi"/>
        </w:rPr>
        <w:t xml:space="preserve"> or</w:t>
      </w:r>
      <w:r w:rsidR="00EC34D6">
        <w:rPr>
          <w:rFonts w:cstheme="minorHAnsi"/>
        </w:rPr>
        <w:t xml:space="preserve"> within Sussex CMDU</w:t>
      </w:r>
      <w:r w:rsidR="00816ABA">
        <w:rPr>
          <w:rFonts w:cstheme="minorHAnsi"/>
        </w:rPr>
        <w:t xml:space="preserve"> due to logistical challenges. These challenges have been escalated to NHSE Regional teams and this decision aligns with all regional </w:t>
      </w:r>
      <w:proofErr w:type="spellStart"/>
      <w:r w:rsidR="00816ABA">
        <w:rPr>
          <w:rFonts w:cstheme="minorHAnsi"/>
        </w:rPr>
        <w:t>CMDUs</w:t>
      </w:r>
      <w:proofErr w:type="spellEnd"/>
      <w:r w:rsidR="00816ABA">
        <w:rPr>
          <w:rFonts w:cstheme="minorHAnsi"/>
        </w:rPr>
        <w:t>.</w:t>
      </w:r>
    </w:p>
    <w:p w14:paraId="5A0AFF40" w14:textId="77777777" w:rsidR="00352AF6" w:rsidRDefault="00352AF6" w:rsidP="001819E1">
      <w:pPr>
        <w:spacing w:after="0"/>
        <w:rPr>
          <w:rFonts w:cstheme="minorHAnsi"/>
        </w:rPr>
      </w:pPr>
    </w:p>
    <w:p w14:paraId="075311EE" w14:textId="77777777" w:rsidR="00485C5F" w:rsidRDefault="00485C5F" w:rsidP="001819E1">
      <w:pPr>
        <w:spacing w:after="0"/>
        <w:rPr>
          <w:rFonts w:cstheme="minorHAnsi"/>
          <w:b/>
        </w:rPr>
      </w:pPr>
    </w:p>
    <w:p w14:paraId="2F7722F4" w14:textId="5D7C5EF0" w:rsidR="001819E1" w:rsidRDefault="001819E1" w:rsidP="001819E1">
      <w:pPr>
        <w:spacing w:after="0"/>
        <w:rPr>
          <w:rFonts w:cstheme="minorHAnsi"/>
          <w:b/>
        </w:rPr>
      </w:pPr>
      <w:r w:rsidRPr="0034139F">
        <w:rPr>
          <w:rFonts w:cstheme="minorHAnsi"/>
          <w:b/>
        </w:rPr>
        <w:t xml:space="preserve">Importance of medication history taking </w:t>
      </w:r>
    </w:p>
    <w:p w14:paraId="6C502B1E" w14:textId="77777777" w:rsidR="00485C5F" w:rsidRPr="00F15854" w:rsidRDefault="00485C5F" w:rsidP="001819E1">
      <w:pPr>
        <w:spacing w:after="0"/>
        <w:rPr>
          <w:rFonts w:cstheme="minorHAnsi"/>
        </w:rPr>
      </w:pPr>
    </w:p>
    <w:p w14:paraId="64F47C93" w14:textId="616361BE" w:rsidR="001819E1" w:rsidRDefault="001819E1" w:rsidP="001819E1">
      <w:pPr>
        <w:spacing w:after="0"/>
        <w:rPr>
          <w:rFonts w:cstheme="minorHAnsi"/>
        </w:rPr>
      </w:pPr>
      <w:r w:rsidRPr="0034139F">
        <w:rPr>
          <w:rFonts w:cstheme="minorHAnsi"/>
        </w:rPr>
        <w:t>It is of utmost importance that a patient’s current medication is considered before prescribing</w:t>
      </w:r>
      <w:r>
        <w:rPr>
          <w:rFonts w:cstheme="minorHAnsi"/>
        </w:rPr>
        <w:t xml:space="preserve"> </w:t>
      </w:r>
      <w:r w:rsidR="00C4640E">
        <w:rPr>
          <w:rFonts w:cstheme="minorHAnsi"/>
        </w:rPr>
        <w:t xml:space="preserve">Nirmatrelvir </w:t>
      </w:r>
      <w:r w:rsidRPr="0034139F">
        <w:rPr>
          <w:rFonts w:cstheme="minorHAnsi"/>
        </w:rPr>
        <w:t xml:space="preserve">plus ritonavir as many patients will be ineligible for treatment.  </w:t>
      </w:r>
    </w:p>
    <w:p w14:paraId="52904578" w14:textId="77777777" w:rsidR="003C0097" w:rsidRPr="0034139F" w:rsidRDefault="003C0097" w:rsidP="001819E1">
      <w:pPr>
        <w:spacing w:after="0"/>
        <w:rPr>
          <w:rFonts w:cstheme="minorHAnsi"/>
        </w:rPr>
      </w:pPr>
    </w:p>
    <w:p w14:paraId="125BFC74" w14:textId="77777777" w:rsidR="001819E1" w:rsidRPr="0034139F" w:rsidRDefault="001819E1" w:rsidP="001819E1">
      <w:pPr>
        <w:spacing w:after="0"/>
        <w:rPr>
          <w:rFonts w:cstheme="minorHAnsi"/>
          <w:u w:val="single"/>
        </w:rPr>
      </w:pPr>
      <w:r w:rsidRPr="0034139F">
        <w:rPr>
          <w:rFonts w:cstheme="minorHAnsi"/>
          <w:u w:val="single"/>
        </w:rPr>
        <w:t xml:space="preserve">Ineligibility could be due to a contraindication or where strong advice to not use concomitantly </w:t>
      </w:r>
    </w:p>
    <w:p w14:paraId="6DF0BAF1" w14:textId="143E91ED" w:rsidR="001819E1" w:rsidRPr="0034139F" w:rsidRDefault="001819E1" w:rsidP="001819E1">
      <w:pPr>
        <w:spacing w:after="0"/>
        <w:rPr>
          <w:rFonts w:cstheme="minorHAnsi"/>
          <w:u w:val="single"/>
        </w:rPr>
      </w:pPr>
      <w:r w:rsidRPr="0034139F">
        <w:rPr>
          <w:rFonts w:cstheme="minorHAnsi"/>
          <w:u w:val="single"/>
        </w:rPr>
        <w:t xml:space="preserve">exists.  In these </w:t>
      </w:r>
      <w:proofErr w:type="gramStart"/>
      <w:r w:rsidRPr="0034139F">
        <w:rPr>
          <w:rFonts w:cstheme="minorHAnsi"/>
          <w:u w:val="single"/>
        </w:rPr>
        <w:t xml:space="preserve">circumstances </w:t>
      </w:r>
      <w:r w:rsidR="00C4640E">
        <w:rPr>
          <w:rFonts w:cstheme="minorHAnsi"/>
          <w:u w:val="single"/>
        </w:rPr>
        <w:t xml:space="preserve"> Nirmatrelvir</w:t>
      </w:r>
      <w:proofErr w:type="gramEnd"/>
      <w:r w:rsidRPr="0034139F">
        <w:rPr>
          <w:rFonts w:cstheme="minorHAnsi"/>
          <w:u w:val="single"/>
        </w:rPr>
        <w:t xml:space="preserve"> plus ritonavir must NOT be prescribed </w:t>
      </w:r>
    </w:p>
    <w:p w14:paraId="4740905C" w14:textId="77777777" w:rsidR="001819E1" w:rsidRPr="0034139F" w:rsidRDefault="001819E1" w:rsidP="001819E1">
      <w:pPr>
        <w:spacing w:after="0"/>
        <w:rPr>
          <w:rFonts w:cstheme="minorHAnsi"/>
        </w:rPr>
      </w:pPr>
      <w:r w:rsidRPr="0034139F">
        <w:rPr>
          <w:rFonts w:cstheme="minorHAnsi"/>
          <w:u w:val="single"/>
        </w:rPr>
        <w:t>together with the patient’s medication</w:t>
      </w:r>
      <w:r w:rsidRPr="0034139F">
        <w:rPr>
          <w:rFonts w:cstheme="minorHAnsi"/>
        </w:rPr>
        <w:t xml:space="preserve">. However, if the factors impacting decisions about risk </w:t>
      </w:r>
    </w:p>
    <w:p w14:paraId="12EEE6FA" w14:textId="77777777" w:rsidR="001819E1" w:rsidRPr="0034139F" w:rsidRDefault="001819E1" w:rsidP="001819E1">
      <w:pPr>
        <w:spacing w:after="0"/>
        <w:rPr>
          <w:rFonts w:cstheme="minorHAnsi"/>
        </w:rPr>
      </w:pPr>
      <w:r w:rsidRPr="0034139F">
        <w:rPr>
          <w:rFonts w:cstheme="minorHAnsi"/>
        </w:rPr>
        <w:t xml:space="preserve">assessment </w:t>
      </w:r>
      <w:proofErr w:type="gramStart"/>
      <w:r w:rsidRPr="0034139F">
        <w:rPr>
          <w:rFonts w:cstheme="minorHAnsi"/>
        </w:rPr>
        <w:t>are</w:t>
      </w:r>
      <w:proofErr w:type="gramEnd"/>
      <w:r w:rsidRPr="0034139F">
        <w:rPr>
          <w:rFonts w:cstheme="minorHAnsi"/>
        </w:rPr>
        <w:t xml:space="preserve"> met and the prescriber is confident of appropriate follow up, management options </w:t>
      </w:r>
    </w:p>
    <w:p w14:paraId="721FB838" w14:textId="008384DE" w:rsidR="001819E1" w:rsidRDefault="001819E1" w:rsidP="001819E1">
      <w:pPr>
        <w:spacing w:after="0"/>
        <w:rPr>
          <w:rFonts w:cstheme="minorHAnsi"/>
        </w:rPr>
      </w:pPr>
      <w:r w:rsidRPr="0034139F">
        <w:rPr>
          <w:rFonts w:cstheme="minorHAnsi"/>
        </w:rPr>
        <w:t xml:space="preserve">can be considered </w:t>
      </w:r>
      <w:proofErr w:type="gramStart"/>
      <w:r w:rsidRPr="0034139F">
        <w:rPr>
          <w:rFonts w:cstheme="minorHAnsi"/>
        </w:rPr>
        <w:t>e.g.</w:t>
      </w:r>
      <w:proofErr w:type="gramEnd"/>
      <w:r w:rsidRPr="0034139F">
        <w:rPr>
          <w:rFonts w:cstheme="minorHAnsi"/>
        </w:rPr>
        <w:t xml:space="preserve"> temporary stopping of concomitant medication</w:t>
      </w:r>
      <w:r w:rsidR="00DD3301">
        <w:rPr>
          <w:rFonts w:cstheme="minorHAnsi"/>
        </w:rPr>
        <w:t xml:space="preserve"> </w:t>
      </w:r>
      <w:proofErr w:type="spellStart"/>
      <w:r w:rsidR="00DD3301">
        <w:rPr>
          <w:rFonts w:cstheme="minorHAnsi"/>
        </w:rPr>
        <w:t>eg</w:t>
      </w:r>
      <w:proofErr w:type="spellEnd"/>
      <w:r w:rsidR="00DD3301">
        <w:rPr>
          <w:rFonts w:cstheme="minorHAnsi"/>
        </w:rPr>
        <w:t xml:space="preserve"> statins.</w:t>
      </w:r>
    </w:p>
    <w:p w14:paraId="45EB2D69" w14:textId="77777777" w:rsidR="001819E1" w:rsidRDefault="001819E1" w:rsidP="001819E1">
      <w:pPr>
        <w:spacing w:after="0"/>
        <w:rPr>
          <w:rFonts w:cstheme="minorHAnsi"/>
        </w:rPr>
      </w:pPr>
    </w:p>
    <w:p w14:paraId="6A39F2BA" w14:textId="77777777" w:rsidR="001819E1" w:rsidRPr="0034139F" w:rsidRDefault="001819E1" w:rsidP="001819E1">
      <w:pPr>
        <w:spacing w:after="0"/>
        <w:rPr>
          <w:rFonts w:cstheme="minorHAnsi"/>
          <w:b/>
        </w:rPr>
      </w:pPr>
      <w:r w:rsidRPr="0034139F">
        <w:rPr>
          <w:rFonts w:cstheme="minorHAnsi"/>
        </w:rPr>
        <w:t xml:space="preserve">Further management options are available via the </w:t>
      </w:r>
      <w:r w:rsidRPr="0034139F">
        <w:rPr>
          <w:rFonts w:cstheme="minorHAnsi"/>
          <w:b/>
        </w:rPr>
        <w:t xml:space="preserve">University of Liverpool COVID-19 Drug </w:t>
      </w:r>
    </w:p>
    <w:p w14:paraId="44E14A92" w14:textId="77777777" w:rsidR="001819E1" w:rsidRDefault="001819E1" w:rsidP="00BF041B">
      <w:pPr>
        <w:spacing w:after="0"/>
        <w:rPr>
          <w:rFonts w:cstheme="minorHAnsi"/>
        </w:rPr>
      </w:pPr>
      <w:r w:rsidRPr="0034139F">
        <w:rPr>
          <w:rFonts w:cstheme="minorHAnsi"/>
          <w:b/>
        </w:rPr>
        <w:t>Interaction checker</w:t>
      </w:r>
      <w:r>
        <w:rPr>
          <w:rFonts w:cstheme="minorHAnsi"/>
        </w:rPr>
        <w:t>-</w:t>
      </w:r>
      <w:r w:rsidRPr="0034139F">
        <w:rPr>
          <w:rFonts w:cstheme="minorHAnsi"/>
        </w:rPr>
        <w:t xml:space="preserve"> </w:t>
      </w:r>
      <w:hyperlink r:id="rId9" w:history="1">
        <w:r w:rsidRPr="0087525A">
          <w:rPr>
            <w:rStyle w:val="Hyperlink"/>
            <w:rFonts w:cstheme="minorHAnsi"/>
          </w:rPr>
          <w:t>https://www.covid19-druginteractions.org/</w:t>
        </w:r>
      </w:hyperlink>
      <w:r>
        <w:rPr>
          <w:rFonts w:cstheme="minorHAnsi"/>
        </w:rPr>
        <w:t xml:space="preserve"> </w:t>
      </w:r>
    </w:p>
    <w:p w14:paraId="140D6841" w14:textId="77777777" w:rsidR="00FD0077" w:rsidRDefault="00FD0077" w:rsidP="00BF041B">
      <w:pPr>
        <w:spacing w:after="0"/>
        <w:rPr>
          <w:rFonts w:cstheme="minorHAnsi"/>
          <w:b/>
        </w:rPr>
      </w:pPr>
    </w:p>
    <w:p w14:paraId="39466ACF" w14:textId="77777777" w:rsidR="00485C5F" w:rsidRDefault="00485C5F" w:rsidP="00BF041B">
      <w:pPr>
        <w:spacing w:after="0"/>
        <w:rPr>
          <w:rFonts w:cstheme="minorHAnsi"/>
          <w:b/>
        </w:rPr>
      </w:pPr>
    </w:p>
    <w:p w14:paraId="3EA5B945" w14:textId="77777777" w:rsidR="00485C5F" w:rsidRDefault="00485C5F" w:rsidP="00BF041B">
      <w:pPr>
        <w:spacing w:after="0"/>
        <w:rPr>
          <w:rFonts w:cstheme="minorHAnsi"/>
          <w:b/>
        </w:rPr>
      </w:pPr>
    </w:p>
    <w:p w14:paraId="5DC82D39" w14:textId="47C07DC5" w:rsidR="00BF041B" w:rsidRDefault="00BF041B" w:rsidP="00BF041B">
      <w:pPr>
        <w:spacing w:after="0"/>
        <w:rPr>
          <w:rFonts w:cstheme="minorHAnsi"/>
          <w:b/>
        </w:rPr>
      </w:pPr>
      <w:r w:rsidRPr="00BF041B">
        <w:rPr>
          <w:rFonts w:cstheme="minorHAnsi"/>
          <w:b/>
        </w:rPr>
        <w:t>Eligibility criteria</w:t>
      </w:r>
    </w:p>
    <w:p w14:paraId="5461D1F5" w14:textId="77777777" w:rsidR="00485C5F" w:rsidRPr="001819E1" w:rsidRDefault="00485C5F" w:rsidP="00BF041B">
      <w:pPr>
        <w:spacing w:after="0"/>
        <w:rPr>
          <w:rFonts w:cstheme="minorHAnsi"/>
        </w:rPr>
      </w:pPr>
    </w:p>
    <w:p w14:paraId="637BD4C6" w14:textId="3E9AE854" w:rsidR="00BF041B" w:rsidRDefault="00BF041B" w:rsidP="00BF041B">
      <w:pPr>
        <w:spacing w:after="0"/>
        <w:rPr>
          <w:rFonts w:cstheme="minorHAnsi"/>
        </w:rPr>
      </w:pPr>
      <w:r w:rsidRPr="00BF041B">
        <w:rPr>
          <w:rFonts w:cstheme="minorHAnsi"/>
        </w:rPr>
        <w:t xml:space="preserve">Patients must meet </w:t>
      </w:r>
      <w:proofErr w:type="gramStart"/>
      <w:r w:rsidR="003C0097">
        <w:rPr>
          <w:rFonts w:cstheme="minorHAnsi"/>
        </w:rPr>
        <w:t>all</w:t>
      </w:r>
      <w:r w:rsidRPr="00BF041B">
        <w:rPr>
          <w:rFonts w:cstheme="minorHAnsi"/>
        </w:rPr>
        <w:t xml:space="preserve"> of</w:t>
      </w:r>
      <w:proofErr w:type="gramEnd"/>
      <w:r w:rsidRPr="00BF041B">
        <w:rPr>
          <w:rFonts w:cstheme="minorHAnsi"/>
        </w:rPr>
        <w:t xml:space="preserve"> the eligibility criteria and non</w:t>
      </w:r>
      <w:r w:rsidR="00A57498">
        <w:rPr>
          <w:rFonts w:cstheme="minorHAnsi"/>
        </w:rPr>
        <w:t>e of the exclusion criteria. Non</w:t>
      </w:r>
      <w:r w:rsidRPr="00BF041B">
        <w:rPr>
          <w:rFonts w:cstheme="minorHAnsi"/>
        </w:rPr>
        <w:t>-hospitalised patients are eligible for treatment if:</w:t>
      </w:r>
    </w:p>
    <w:p w14:paraId="15BFE900" w14:textId="77777777" w:rsidR="00FF7CE9" w:rsidRDefault="00FF7CE9" w:rsidP="00BF041B">
      <w:pPr>
        <w:spacing w:after="0"/>
        <w:rPr>
          <w:rFonts w:cstheme="minorHAnsi"/>
        </w:rPr>
      </w:pPr>
    </w:p>
    <w:p w14:paraId="7E2B37C6" w14:textId="12EADA1E" w:rsidR="0034139F" w:rsidRPr="0034139F" w:rsidRDefault="0034139F" w:rsidP="0034139F">
      <w:pPr>
        <w:spacing w:after="0"/>
        <w:rPr>
          <w:rFonts w:cstheme="minorHAnsi"/>
        </w:rPr>
      </w:pPr>
      <w:r>
        <w:rPr>
          <w:rFonts w:cstheme="minorHAnsi"/>
        </w:rPr>
        <w:t xml:space="preserve">        </w:t>
      </w:r>
      <w:r w:rsidRPr="0034139F">
        <w:rPr>
          <w:rFonts w:cstheme="minorHAnsi"/>
        </w:rPr>
        <w:t xml:space="preserve">• </w:t>
      </w:r>
      <w:r>
        <w:rPr>
          <w:rFonts w:cstheme="minorHAnsi"/>
        </w:rPr>
        <w:t xml:space="preserve">    </w:t>
      </w:r>
      <w:r w:rsidRPr="0034139F">
        <w:rPr>
          <w:rFonts w:cstheme="minorHAnsi"/>
        </w:rPr>
        <w:t>SARS-CoV-2 infection is confirmed by either:</w:t>
      </w:r>
    </w:p>
    <w:p w14:paraId="68E87C41" w14:textId="47005FD8" w:rsidR="0034139F" w:rsidRDefault="0034139F" w:rsidP="0034139F">
      <w:pPr>
        <w:spacing w:after="0"/>
        <w:ind w:left="720" w:firstLine="720"/>
        <w:rPr>
          <w:rFonts w:cstheme="minorHAnsi"/>
        </w:rPr>
      </w:pPr>
      <w:r w:rsidRPr="0034139F">
        <w:rPr>
          <w:rFonts w:cstheme="minorHAnsi"/>
        </w:rPr>
        <w:t>o Lateral flow test (registered via gov.uk or NHS 119)</w:t>
      </w:r>
      <w:r w:rsidR="00A35846">
        <w:rPr>
          <w:rFonts w:cstheme="minorHAnsi"/>
        </w:rPr>
        <w:t xml:space="preserve"> OR</w:t>
      </w:r>
    </w:p>
    <w:p w14:paraId="221F9DEA" w14:textId="3050478A" w:rsidR="00A35846" w:rsidRPr="00BF041B" w:rsidRDefault="00A35846" w:rsidP="00A35846">
      <w:pPr>
        <w:spacing w:after="0"/>
        <w:ind w:left="720" w:firstLine="720"/>
        <w:rPr>
          <w:rFonts w:cstheme="minorHAnsi"/>
        </w:rPr>
      </w:pPr>
      <w:r w:rsidRPr="0034139F">
        <w:rPr>
          <w:rFonts w:cstheme="minorHAnsi"/>
        </w:rPr>
        <w:t xml:space="preserve">o Polymerase chain reaction (PCR) testing </w:t>
      </w:r>
    </w:p>
    <w:p w14:paraId="31D88F6D" w14:textId="77777777" w:rsidR="00A57498" w:rsidRDefault="0034139F" w:rsidP="001C5405">
      <w:pPr>
        <w:pStyle w:val="ListParagraph"/>
        <w:spacing w:after="0"/>
        <w:rPr>
          <w:rFonts w:cstheme="minorHAnsi"/>
          <w:b/>
        </w:rPr>
      </w:pPr>
      <w:r>
        <w:rPr>
          <w:rFonts w:cstheme="minorHAnsi"/>
        </w:rPr>
        <w:t xml:space="preserve">within the last </w:t>
      </w:r>
      <w:r>
        <w:rPr>
          <w:rFonts w:cstheme="minorHAnsi"/>
          <w:b/>
        </w:rPr>
        <w:t>5 days</w:t>
      </w:r>
    </w:p>
    <w:p w14:paraId="39C64983" w14:textId="5AFA1B8C" w:rsidR="00A57498" w:rsidRPr="00A57498" w:rsidRDefault="00A57498" w:rsidP="00A57498">
      <w:pPr>
        <w:pStyle w:val="ListParagraph"/>
        <w:spacing w:after="0"/>
        <w:rPr>
          <w:rFonts w:cstheme="minorHAnsi"/>
        </w:rPr>
      </w:pPr>
      <w:r>
        <w:rPr>
          <w:rFonts w:cstheme="minorHAnsi"/>
        </w:rPr>
        <w:t>AND</w:t>
      </w:r>
    </w:p>
    <w:p w14:paraId="06FF09CC" w14:textId="22AEB9F9" w:rsidR="00A57498" w:rsidRPr="00A57498" w:rsidRDefault="00A57498" w:rsidP="00A57498">
      <w:pPr>
        <w:pStyle w:val="ListParagraph"/>
        <w:numPr>
          <w:ilvl w:val="0"/>
          <w:numId w:val="31"/>
        </w:numPr>
        <w:spacing w:after="0"/>
        <w:rPr>
          <w:rFonts w:cstheme="minorHAnsi"/>
        </w:rPr>
      </w:pPr>
      <w:r>
        <w:rPr>
          <w:rFonts w:cstheme="minorHAnsi"/>
        </w:rPr>
        <w:t>Symptomatic</w:t>
      </w:r>
      <w:r w:rsidR="00F419EF">
        <w:rPr>
          <w:rFonts w:cstheme="minorHAnsi"/>
          <w:vertAlign w:val="superscript"/>
        </w:rPr>
        <w:t>3</w:t>
      </w:r>
      <w:r>
        <w:rPr>
          <w:rFonts w:cstheme="minorHAnsi"/>
        </w:rPr>
        <w:t xml:space="preserve"> with COVID-19</w:t>
      </w:r>
      <w:r w:rsidRPr="00A57498">
        <w:rPr>
          <w:rFonts w:cstheme="minorHAnsi"/>
        </w:rPr>
        <w:t xml:space="preserve"> and </w:t>
      </w:r>
      <w:r w:rsidRPr="00EC34D6">
        <w:rPr>
          <w:rFonts w:cstheme="minorHAnsi"/>
          <w:u w:val="single"/>
        </w:rPr>
        <w:t xml:space="preserve">showing no signs of clinical </w:t>
      </w:r>
      <w:proofErr w:type="gramStart"/>
      <w:r w:rsidRPr="00EC34D6">
        <w:rPr>
          <w:rFonts w:cstheme="minorHAnsi"/>
          <w:u w:val="single"/>
        </w:rPr>
        <w:t>recovery</w:t>
      </w:r>
      <w:proofErr w:type="gramEnd"/>
      <w:r w:rsidRPr="00A57498">
        <w:rPr>
          <w:rFonts w:cstheme="minorHAnsi"/>
        </w:rPr>
        <w:t xml:space="preserve"> </w:t>
      </w:r>
    </w:p>
    <w:p w14:paraId="7DA4F5E6" w14:textId="77777777" w:rsidR="00BF041B" w:rsidRPr="001C5405" w:rsidRDefault="00BF041B" w:rsidP="001C5405">
      <w:pPr>
        <w:pStyle w:val="ListParagraph"/>
        <w:spacing w:after="0"/>
        <w:rPr>
          <w:rFonts w:cstheme="minorHAnsi"/>
        </w:rPr>
      </w:pPr>
      <w:r w:rsidRPr="001C5405">
        <w:rPr>
          <w:rFonts w:cstheme="minorHAnsi"/>
        </w:rPr>
        <w:t>AND</w:t>
      </w:r>
    </w:p>
    <w:p w14:paraId="3C7A6E31" w14:textId="1BDEBBB9" w:rsidR="00BF041B" w:rsidRPr="001C5405" w:rsidRDefault="00BF041B" w:rsidP="001C5405">
      <w:pPr>
        <w:pStyle w:val="ListParagraph"/>
        <w:numPr>
          <w:ilvl w:val="0"/>
          <w:numId w:val="27"/>
        </w:numPr>
        <w:spacing w:after="0"/>
        <w:rPr>
          <w:rFonts w:cstheme="minorHAnsi"/>
        </w:rPr>
      </w:pPr>
      <w:r w:rsidRPr="001C5405">
        <w:rPr>
          <w:rFonts w:cstheme="minorHAnsi"/>
        </w:rPr>
        <w:t>Onset of symptom</w:t>
      </w:r>
      <w:r w:rsidR="0034139F">
        <w:rPr>
          <w:rFonts w:cstheme="minorHAnsi"/>
        </w:rPr>
        <w:t>s of COVID-</w:t>
      </w:r>
      <w:proofErr w:type="gramStart"/>
      <w:r w:rsidR="0034139F">
        <w:rPr>
          <w:rFonts w:cstheme="minorHAnsi"/>
        </w:rPr>
        <w:t>19  within</w:t>
      </w:r>
      <w:proofErr w:type="gramEnd"/>
      <w:r w:rsidR="0034139F">
        <w:rPr>
          <w:rFonts w:cstheme="minorHAnsi"/>
        </w:rPr>
        <w:t xml:space="preserve"> the last </w:t>
      </w:r>
      <w:r w:rsidR="0034139F" w:rsidRPr="0034139F">
        <w:rPr>
          <w:rFonts w:cstheme="minorHAnsi"/>
          <w:b/>
        </w:rPr>
        <w:t>7</w:t>
      </w:r>
      <w:r w:rsidRPr="0034139F">
        <w:rPr>
          <w:rFonts w:cstheme="minorHAnsi"/>
          <w:b/>
        </w:rPr>
        <w:t xml:space="preserve"> days</w:t>
      </w:r>
      <w:r w:rsidR="00352AF6">
        <w:rPr>
          <w:rFonts w:cstheme="minorHAnsi"/>
          <w:b/>
          <w:vertAlign w:val="superscript"/>
        </w:rPr>
        <w:t>†</w:t>
      </w:r>
    </w:p>
    <w:p w14:paraId="3FE22E89" w14:textId="77777777" w:rsidR="00BF041B" w:rsidRPr="001C5405" w:rsidRDefault="00BF041B" w:rsidP="001C5405">
      <w:pPr>
        <w:pStyle w:val="ListParagraph"/>
        <w:spacing w:after="0"/>
        <w:rPr>
          <w:rFonts w:cstheme="minorHAnsi"/>
        </w:rPr>
      </w:pPr>
      <w:r w:rsidRPr="001C5405">
        <w:rPr>
          <w:rFonts w:cstheme="minorHAnsi"/>
        </w:rPr>
        <w:t>AND</w:t>
      </w:r>
    </w:p>
    <w:p w14:paraId="6BB90DD4" w14:textId="2A0D94F0" w:rsidR="00BF041B" w:rsidRDefault="00BF041B" w:rsidP="001C5405">
      <w:pPr>
        <w:pStyle w:val="ListParagraph"/>
        <w:numPr>
          <w:ilvl w:val="0"/>
          <w:numId w:val="27"/>
        </w:numPr>
        <w:spacing w:after="0"/>
        <w:rPr>
          <w:rFonts w:cstheme="minorHAnsi"/>
        </w:rPr>
      </w:pPr>
      <w:r w:rsidRPr="001C5405">
        <w:rPr>
          <w:rFonts w:cstheme="minorHAnsi"/>
        </w:rPr>
        <w:t>A member of a ‘highest’ risk group</w:t>
      </w:r>
      <w:r w:rsidR="00A35846">
        <w:rPr>
          <w:rFonts w:cstheme="minorHAnsi"/>
        </w:rPr>
        <w:t xml:space="preserve"> </w:t>
      </w:r>
      <w:r w:rsidR="00A35846">
        <w:t>(as defined in the updated Department of Health and Social Care commissioned Independent Advisory Group Report)</w:t>
      </w:r>
      <w:r w:rsidR="00F419EF">
        <w:rPr>
          <w:vertAlign w:val="superscript"/>
        </w:rPr>
        <w:t>4</w:t>
      </w:r>
    </w:p>
    <w:p w14:paraId="6E06212C" w14:textId="77777777" w:rsidR="00907525" w:rsidRDefault="00907525" w:rsidP="00907525">
      <w:pPr>
        <w:spacing w:after="0"/>
        <w:rPr>
          <w:sz w:val="23"/>
          <w:szCs w:val="23"/>
        </w:rPr>
      </w:pPr>
    </w:p>
    <w:p w14:paraId="24E397B5" w14:textId="0BA9BBBD" w:rsidR="00907525" w:rsidRPr="00907525" w:rsidRDefault="00907525" w:rsidP="00907525">
      <w:pPr>
        <w:spacing w:after="0"/>
        <w:rPr>
          <w:rFonts w:cstheme="minorHAnsi"/>
        </w:rPr>
      </w:pPr>
      <w:r>
        <w:rPr>
          <w:sz w:val="23"/>
          <w:szCs w:val="23"/>
        </w:rPr>
        <w:t xml:space="preserve">Children aged 12-17 years may only be considered for treatment with </w:t>
      </w:r>
      <w:r w:rsidR="00352969">
        <w:rPr>
          <w:sz w:val="23"/>
          <w:szCs w:val="23"/>
        </w:rPr>
        <w:t>S</w:t>
      </w:r>
      <w:r>
        <w:rPr>
          <w:sz w:val="23"/>
          <w:szCs w:val="23"/>
        </w:rPr>
        <w:t xml:space="preserve">otrovimab. </w:t>
      </w:r>
      <w:r>
        <w:rPr>
          <w:color w:val="221F1F"/>
          <w:sz w:val="23"/>
          <w:szCs w:val="23"/>
        </w:rPr>
        <w:t>For paediatric/adolescent patients (aged 12-17 years inclusive), paediatric multi-disciplinary team (MDT) assessment can be used to determine clinical capacity to benefit from the treatment.</w:t>
      </w:r>
    </w:p>
    <w:p w14:paraId="5A159609" w14:textId="77777777" w:rsidR="00907525" w:rsidRDefault="00907525" w:rsidP="00907525">
      <w:pPr>
        <w:pStyle w:val="ListParagraph"/>
        <w:spacing w:after="0"/>
        <w:rPr>
          <w:rFonts w:cstheme="minorHAnsi"/>
        </w:rPr>
      </w:pPr>
    </w:p>
    <w:p w14:paraId="3F67B303" w14:textId="77777777" w:rsidR="00485C5F" w:rsidRDefault="00485C5F" w:rsidP="001C5405">
      <w:pPr>
        <w:spacing w:after="0"/>
        <w:rPr>
          <w:rFonts w:cstheme="minorHAnsi"/>
          <w:b/>
        </w:rPr>
      </w:pPr>
    </w:p>
    <w:p w14:paraId="4E13354B" w14:textId="77777777" w:rsidR="00485C5F" w:rsidRDefault="00485C5F" w:rsidP="001C5405">
      <w:pPr>
        <w:spacing w:after="0"/>
        <w:rPr>
          <w:rFonts w:cstheme="minorHAnsi"/>
          <w:b/>
        </w:rPr>
      </w:pPr>
    </w:p>
    <w:p w14:paraId="20085B6B" w14:textId="77777777" w:rsidR="00485C5F" w:rsidRPr="00352AF6" w:rsidRDefault="00485C5F" w:rsidP="00485C5F">
      <w:pPr>
        <w:spacing w:after="0"/>
        <w:rPr>
          <w:rFonts w:cstheme="minorHAnsi"/>
          <w:bCs/>
          <w:color w:val="808080" w:themeColor="background1" w:themeShade="80"/>
          <w:sz w:val="16"/>
          <w:szCs w:val="16"/>
        </w:rPr>
      </w:pPr>
      <w:r>
        <w:rPr>
          <w:rFonts w:cstheme="minorHAnsi"/>
          <w:bCs/>
          <w:color w:val="808080" w:themeColor="background1" w:themeShade="80"/>
          <w:sz w:val="16"/>
          <w:szCs w:val="16"/>
        </w:rPr>
        <w:t xml:space="preserve">† </w:t>
      </w:r>
      <w:r w:rsidRPr="00352AF6">
        <w:rPr>
          <w:rFonts w:cstheme="minorHAnsi"/>
          <w:bCs/>
          <w:color w:val="808080" w:themeColor="background1" w:themeShade="80"/>
          <w:sz w:val="16"/>
          <w:szCs w:val="16"/>
        </w:rPr>
        <w:t xml:space="preserve">Treatment commencement may be extended up to a maximum of 7 days from symptom onset if clinically indicated (treatment commencement beyond 5 days from symptom onset is </w:t>
      </w:r>
      <w:proofErr w:type="gramStart"/>
      <w:r w:rsidRPr="00352AF6">
        <w:rPr>
          <w:rFonts w:cstheme="minorHAnsi"/>
          <w:bCs/>
          <w:color w:val="808080" w:themeColor="background1" w:themeShade="80"/>
          <w:sz w:val="16"/>
          <w:szCs w:val="16"/>
        </w:rPr>
        <w:t>off-label</w:t>
      </w:r>
      <w:proofErr w:type="gramEnd"/>
      <w:r w:rsidRPr="00352AF6">
        <w:rPr>
          <w:rFonts w:cstheme="minorHAnsi"/>
          <w:bCs/>
          <w:color w:val="808080" w:themeColor="background1" w:themeShade="80"/>
          <w:sz w:val="16"/>
          <w:szCs w:val="16"/>
        </w:rPr>
        <w:t>.</w:t>
      </w:r>
    </w:p>
    <w:p w14:paraId="6EEBEA1B" w14:textId="77777777" w:rsidR="00485C5F" w:rsidRDefault="00485C5F" w:rsidP="001C5405">
      <w:pPr>
        <w:spacing w:after="0"/>
        <w:rPr>
          <w:rFonts w:cstheme="minorHAnsi"/>
          <w:b/>
        </w:rPr>
      </w:pPr>
    </w:p>
    <w:p w14:paraId="62F09E2A" w14:textId="7BA7C98C" w:rsidR="00F30AD2" w:rsidRDefault="001C5405" w:rsidP="001C5405">
      <w:pPr>
        <w:spacing w:after="0"/>
        <w:rPr>
          <w:rFonts w:cstheme="minorHAnsi"/>
          <w:b/>
        </w:rPr>
      </w:pPr>
      <w:r w:rsidRPr="004F68E0">
        <w:rPr>
          <w:rFonts w:cstheme="minorHAnsi"/>
          <w:b/>
        </w:rPr>
        <w:t>Exclusion criteria</w:t>
      </w:r>
    </w:p>
    <w:p w14:paraId="74FC209D" w14:textId="77777777" w:rsidR="00485C5F" w:rsidRPr="004F68E0" w:rsidRDefault="00485C5F" w:rsidP="001C5405">
      <w:pPr>
        <w:spacing w:after="0"/>
        <w:rPr>
          <w:rFonts w:cstheme="minorHAnsi"/>
          <w:b/>
        </w:rPr>
      </w:pPr>
    </w:p>
    <w:p w14:paraId="67577A5E" w14:textId="77777777" w:rsidR="00FF7CE9" w:rsidRDefault="00A57498" w:rsidP="00A57498">
      <w:pPr>
        <w:pStyle w:val="ListParagraph"/>
        <w:numPr>
          <w:ilvl w:val="0"/>
          <w:numId w:val="27"/>
        </w:numPr>
        <w:spacing w:after="0"/>
        <w:rPr>
          <w:rFonts w:cstheme="minorHAnsi"/>
        </w:rPr>
      </w:pPr>
      <w:r w:rsidRPr="00A57498">
        <w:rPr>
          <w:rFonts w:cstheme="minorHAnsi"/>
        </w:rPr>
        <w:t>Requirement for hospitalisation for COVID-19</w:t>
      </w:r>
    </w:p>
    <w:p w14:paraId="7BA9733B" w14:textId="2B096656" w:rsidR="00A57498" w:rsidRPr="00A57498" w:rsidRDefault="00FF7CE9" w:rsidP="00A57498">
      <w:pPr>
        <w:pStyle w:val="ListParagraph"/>
        <w:numPr>
          <w:ilvl w:val="0"/>
          <w:numId w:val="27"/>
        </w:numPr>
        <w:spacing w:after="0"/>
        <w:rPr>
          <w:rFonts w:cstheme="minorHAnsi"/>
        </w:rPr>
      </w:pPr>
      <w:r>
        <w:rPr>
          <w:rFonts w:cstheme="minorHAnsi"/>
        </w:rPr>
        <w:t>Requirement for supplemental Oxygen for Covid-19</w:t>
      </w:r>
      <w:r w:rsidR="00A57498" w:rsidRPr="00A57498">
        <w:rPr>
          <w:rFonts w:cstheme="minorHAnsi"/>
        </w:rPr>
        <w:t xml:space="preserve"> </w:t>
      </w:r>
    </w:p>
    <w:p w14:paraId="7A43DB9B" w14:textId="71443CD7" w:rsidR="00907525" w:rsidRPr="00AD2E51" w:rsidRDefault="001A44CA" w:rsidP="00907525">
      <w:pPr>
        <w:pStyle w:val="ListParagraph"/>
        <w:numPr>
          <w:ilvl w:val="0"/>
          <w:numId w:val="27"/>
        </w:numPr>
        <w:spacing w:after="0"/>
        <w:rPr>
          <w:rFonts w:cstheme="minorHAnsi"/>
          <w:u w:val="single"/>
        </w:rPr>
      </w:pPr>
      <w:r w:rsidRPr="001A44CA">
        <w:rPr>
          <w:rFonts w:cstheme="minorHAnsi"/>
        </w:rPr>
        <w:t xml:space="preserve">The pattern of clinical presentation indicates that there is </w:t>
      </w:r>
      <w:r w:rsidRPr="00AD2E51">
        <w:rPr>
          <w:rFonts w:cstheme="minorHAnsi"/>
          <w:u w:val="single"/>
        </w:rPr>
        <w:t xml:space="preserve">recovery rather than risk of deterioration from infection </w:t>
      </w:r>
    </w:p>
    <w:p w14:paraId="231CF4CE" w14:textId="63F146A3" w:rsidR="0034139F" w:rsidRDefault="00907525" w:rsidP="00907525">
      <w:pPr>
        <w:pStyle w:val="ListParagraph"/>
        <w:numPr>
          <w:ilvl w:val="0"/>
          <w:numId w:val="27"/>
        </w:numPr>
        <w:spacing w:after="0"/>
        <w:rPr>
          <w:rFonts w:cstheme="minorHAnsi"/>
        </w:rPr>
      </w:pPr>
      <w:r w:rsidRPr="00907525">
        <w:rPr>
          <w:rFonts w:cstheme="minorHAnsi"/>
        </w:rPr>
        <w:t xml:space="preserve">Known hypersensitivity reaction to the active substances or to any of the excipients of the medications below as listed in their respective Summary of Product Characteristics </w:t>
      </w:r>
    </w:p>
    <w:p w14:paraId="404048BA" w14:textId="77777777" w:rsidR="00907525" w:rsidRDefault="00907525" w:rsidP="00907525">
      <w:pPr>
        <w:spacing w:after="0"/>
        <w:rPr>
          <w:rFonts w:cstheme="minorHAnsi"/>
        </w:rPr>
      </w:pPr>
    </w:p>
    <w:p w14:paraId="58BD29B5" w14:textId="77777777" w:rsidR="00352AF6" w:rsidRDefault="00352AF6" w:rsidP="003C0097">
      <w:pPr>
        <w:spacing w:after="0"/>
        <w:rPr>
          <w:rFonts w:cstheme="minorHAnsi"/>
          <w:b/>
        </w:rPr>
      </w:pPr>
    </w:p>
    <w:p w14:paraId="23EA72B7" w14:textId="6B80FD86" w:rsidR="001819E1" w:rsidRPr="003C0097" w:rsidRDefault="00907525" w:rsidP="003C0097">
      <w:pPr>
        <w:spacing w:after="0"/>
        <w:rPr>
          <w:rFonts w:cstheme="minorHAnsi"/>
          <w:b/>
          <w:color w:val="808080" w:themeColor="background1" w:themeShade="80"/>
          <w:sz w:val="16"/>
          <w:szCs w:val="16"/>
        </w:rPr>
      </w:pPr>
      <w:r w:rsidRPr="003C0097">
        <w:rPr>
          <w:rFonts w:cstheme="minorHAnsi"/>
          <w:b/>
        </w:rPr>
        <w:t>Additional Exclusion Criteria per Treatment</w:t>
      </w:r>
    </w:p>
    <w:p w14:paraId="525F6A4A" w14:textId="77777777" w:rsidR="00E540F9" w:rsidRDefault="00E540F9" w:rsidP="00907525">
      <w:pPr>
        <w:spacing w:after="0"/>
        <w:rPr>
          <w:rFonts w:cstheme="minorHAnsi"/>
          <w:u w:val="single"/>
        </w:rPr>
      </w:pPr>
    </w:p>
    <w:p w14:paraId="0A88E23F" w14:textId="27C8833C" w:rsidR="00907525" w:rsidRPr="00907525" w:rsidRDefault="00C4640E" w:rsidP="00907525">
      <w:pPr>
        <w:spacing w:after="0"/>
        <w:rPr>
          <w:rFonts w:cstheme="minorHAnsi"/>
          <w:u w:val="single"/>
        </w:rPr>
      </w:pPr>
      <w:r>
        <w:rPr>
          <w:rFonts w:cstheme="minorHAnsi"/>
          <w:u w:val="single"/>
        </w:rPr>
        <w:t xml:space="preserve"> Nirmatrelvir</w:t>
      </w:r>
      <w:r w:rsidR="00907525" w:rsidRPr="00907525">
        <w:rPr>
          <w:rFonts w:cstheme="minorHAnsi"/>
          <w:u w:val="single"/>
        </w:rPr>
        <w:t xml:space="preserve"> plus ritonavir</w:t>
      </w:r>
    </w:p>
    <w:p w14:paraId="67DD0691" w14:textId="77777777" w:rsidR="00907525" w:rsidRPr="0034139F" w:rsidRDefault="00907525" w:rsidP="00907525">
      <w:pPr>
        <w:pStyle w:val="ListParagraph"/>
        <w:numPr>
          <w:ilvl w:val="0"/>
          <w:numId w:val="27"/>
        </w:numPr>
        <w:spacing w:after="0"/>
        <w:rPr>
          <w:rFonts w:cstheme="minorHAnsi"/>
        </w:rPr>
      </w:pPr>
      <w:r>
        <w:rPr>
          <w:rFonts w:cstheme="minorHAnsi"/>
        </w:rPr>
        <w:t xml:space="preserve">Swallowing difficulties and difficulty with compliance to a complex dosage </w:t>
      </w:r>
      <w:proofErr w:type="gramStart"/>
      <w:r>
        <w:rPr>
          <w:rFonts w:cstheme="minorHAnsi"/>
        </w:rPr>
        <w:t>5 day</w:t>
      </w:r>
      <w:proofErr w:type="gramEnd"/>
      <w:r>
        <w:rPr>
          <w:rFonts w:cstheme="minorHAnsi"/>
        </w:rPr>
        <w:t xml:space="preserve"> course of tablets</w:t>
      </w:r>
    </w:p>
    <w:p w14:paraId="1DAC94D7" w14:textId="4433B9C2" w:rsidR="00E540F9" w:rsidRPr="00E540F9" w:rsidRDefault="00907525" w:rsidP="00E540F9">
      <w:pPr>
        <w:pStyle w:val="Default"/>
        <w:numPr>
          <w:ilvl w:val="0"/>
          <w:numId w:val="27"/>
        </w:numPr>
        <w:rPr>
          <w:rFonts w:asciiTheme="minorHAnsi" w:hAnsiTheme="minorHAnsi" w:cstheme="minorHAnsi"/>
          <w:sz w:val="23"/>
          <w:szCs w:val="23"/>
        </w:rPr>
      </w:pPr>
      <w:r>
        <w:rPr>
          <w:rFonts w:asciiTheme="minorHAnsi" w:hAnsiTheme="minorHAnsi" w:cstheme="minorHAnsi"/>
          <w:color w:val="221F1F"/>
          <w:sz w:val="23"/>
          <w:szCs w:val="23"/>
        </w:rPr>
        <w:t>The patient has</w:t>
      </w:r>
      <w:r w:rsidRPr="0034139F">
        <w:rPr>
          <w:rFonts w:asciiTheme="minorHAnsi" w:hAnsiTheme="minorHAnsi" w:cstheme="minorHAnsi"/>
          <w:color w:val="221F1F"/>
          <w:sz w:val="23"/>
          <w:szCs w:val="23"/>
        </w:rPr>
        <w:t xml:space="preserve"> a history of advanced decompensated liver cirrhosis or stage </w:t>
      </w:r>
      <w:r w:rsidR="0009568D">
        <w:rPr>
          <w:rFonts w:asciiTheme="minorHAnsi" w:hAnsiTheme="minorHAnsi" w:cstheme="minorHAnsi"/>
          <w:color w:val="221F1F"/>
          <w:sz w:val="23"/>
          <w:szCs w:val="23"/>
        </w:rPr>
        <w:t>4</w:t>
      </w:r>
      <w:r w:rsidRPr="0034139F">
        <w:rPr>
          <w:rFonts w:asciiTheme="minorHAnsi" w:hAnsiTheme="minorHAnsi" w:cstheme="minorHAnsi"/>
          <w:color w:val="221F1F"/>
          <w:sz w:val="23"/>
          <w:szCs w:val="23"/>
        </w:rPr>
        <w:t xml:space="preserve">-5 chronic kidney disease </w:t>
      </w:r>
    </w:p>
    <w:p w14:paraId="56F22184" w14:textId="5444AF08" w:rsidR="00907525" w:rsidRPr="0034139F" w:rsidRDefault="00907525" w:rsidP="00907525">
      <w:pPr>
        <w:pStyle w:val="Default"/>
        <w:numPr>
          <w:ilvl w:val="0"/>
          <w:numId w:val="27"/>
        </w:numPr>
        <w:rPr>
          <w:rFonts w:asciiTheme="minorHAnsi" w:hAnsiTheme="minorHAnsi" w:cstheme="minorHAnsi"/>
          <w:sz w:val="23"/>
          <w:szCs w:val="23"/>
        </w:rPr>
      </w:pPr>
      <w:proofErr w:type="spellStart"/>
      <w:r>
        <w:rPr>
          <w:rFonts w:asciiTheme="minorHAnsi" w:hAnsiTheme="minorHAnsi" w:cstheme="minorHAnsi"/>
          <w:color w:val="221F1F"/>
          <w:sz w:val="23"/>
          <w:szCs w:val="23"/>
        </w:rPr>
        <w:t>Preganancy</w:t>
      </w:r>
      <w:proofErr w:type="spellEnd"/>
      <w:r>
        <w:rPr>
          <w:rFonts w:asciiTheme="minorHAnsi" w:hAnsiTheme="minorHAnsi" w:cstheme="minorHAnsi"/>
          <w:color w:val="221F1F"/>
          <w:sz w:val="23"/>
          <w:szCs w:val="23"/>
        </w:rPr>
        <w:t xml:space="preserve"> or possibility of being pregnant</w:t>
      </w:r>
    </w:p>
    <w:p w14:paraId="50A24574" w14:textId="4BDF908F" w:rsidR="00907525" w:rsidRPr="00907525" w:rsidRDefault="00907525" w:rsidP="00907525">
      <w:pPr>
        <w:pStyle w:val="ListParagraph"/>
        <w:numPr>
          <w:ilvl w:val="0"/>
          <w:numId w:val="27"/>
        </w:numPr>
        <w:spacing w:after="0"/>
        <w:rPr>
          <w:rFonts w:cstheme="minorHAnsi"/>
        </w:rPr>
      </w:pPr>
      <w:r>
        <w:rPr>
          <w:rFonts w:cstheme="minorHAnsi"/>
        </w:rPr>
        <w:t>Less than</w:t>
      </w:r>
      <w:r w:rsidRPr="00907525">
        <w:rPr>
          <w:rFonts w:cstheme="minorHAnsi"/>
        </w:rPr>
        <w:t xml:space="preserve"> 18</w:t>
      </w:r>
      <w:r w:rsidR="006965ED">
        <w:rPr>
          <w:rFonts w:cstheme="minorHAnsi"/>
        </w:rPr>
        <w:t xml:space="preserve"> </w:t>
      </w:r>
      <w:r w:rsidRPr="00907525">
        <w:rPr>
          <w:rFonts w:cstheme="minorHAnsi"/>
        </w:rPr>
        <w:t>years of age</w:t>
      </w:r>
    </w:p>
    <w:p w14:paraId="7C4F657A" w14:textId="77777777" w:rsidR="00907525" w:rsidRPr="00907525" w:rsidRDefault="00907525" w:rsidP="00907525">
      <w:pPr>
        <w:pStyle w:val="ListParagraph"/>
        <w:numPr>
          <w:ilvl w:val="0"/>
          <w:numId w:val="27"/>
        </w:numPr>
        <w:spacing w:after="0"/>
        <w:rPr>
          <w:rFonts w:cstheme="minorHAnsi"/>
          <w:b/>
        </w:rPr>
      </w:pPr>
      <w:r w:rsidRPr="00907525">
        <w:rPr>
          <w:rFonts w:cstheme="minorHAnsi"/>
        </w:rPr>
        <w:t>The patient is taking any of the medications listed in Appendix 2</w:t>
      </w:r>
    </w:p>
    <w:p w14:paraId="074C754E" w14:textId="77777777" w:rsidR="0034139F" w:rsidRPr="00907525" w:rsidRDefault="0034139F" w:rsidP="00907525">
      <w:pPr>
        <w:spacing w:after="0"/>
        <w:rPr>
          <w:rFonts w:cstheme="minorHAnsi"/>
          <w:u w:val="single"/>
        </w:rPr>
      </w:pPr>
    </w:p>
    <w:p w14:paraId="55B2D1A7" w14:textId="0122046F" w:rsidR="00907525" w:rsidRDefault="00907525" w:rsidP="0034139F">
      <w:pPr>
        <w:spacing w:after="0"/>
        <w:rPr>
          <w:rFonts w:cstheme="minorHAnsi"/>
        </w:rPr>
      </w:pPr>
      <w:r>
        <w:rPr>
          <w:rFonts w:cstheme="minorHAnsi"/>
          <w:u w:val="single"/>
        </w:rPr>
        <w:t>Sotrovimab</w:t>
      </w:r>
    </w:p>
    <w:p w14:paraId="23FD0E24" w14:textId="77777777" w:rsidR="00907525" w:rsidRPr="00907525" w:rsidRDefault="00907525" w:rsidP="00907525">
      <w:pPr>
        <w:pStyle w:val="ListParagraph"/>
        <w:numPr>
          <w:ilvl w:val="0"/>
          <w:numId w:val="33"/>
        </w:numPr>
        <w:spacing w:after="0"/>
        <w:rPr>
          <w:rFonts w:cstheme="minorHAnsi"/>
        </w:rPr>
      </w:pPr>
      <w:r w:rsidRPr="00907525">
        <w:rPr>
          <w:rFonts w:cstheme="minorHAnsi"/>
        </w:rPr>
        <w:t>Children aged under 12 years</w:t>
      </w:r>
    </w:p>
    <w:p w14:paraId="1110BA38" w14:textId="00CF46A0" w:rsidR="00907525" w:rsidRDefault="00907525" w:rsidP="00907525">
      <w:pPr>
        <w:pStyle w:val="ListParagraph"/>
        <w:numPr>
          <w:ilvl w:val="0"/>
          <w:numId w:val="33"/>
        </w:numPr>
        <w:spacing w:after="0"/>
        <w:rPr>
          <w:rFonts w:cstheme="minorHAnsi"/>
        </w:rPr>
      </w:pPr>
      <w:r w:rsidRPr="00907525">
        <w:rPr>
          <w:rFonts w:cstheme="minorHAnsi"/>
        </w:rPr>
        <w:t>Adolescents (aged 12-17) weighing 40kg and under</w:t>
      </w:r>
    </w:p>
    <w:p w14:paraId="569875B7" w14:textId="77777777" w:rsidR="003C0097" w:rsidRDefault="003C0097" w:rsidP="003C0097">
      <w:pPr>
        <w:spacing w:after="0"/>
        <w:rPr>
          <w:rFonts w:cstheme="minorHAnsi"/>
        </w:rPr>
      </w:pPr>
    </w:p>
    <w:p w14:paraId="7FACD7B7" w14:textId="77777777" w:rsidR="003C0097" w:rsidRPr="00907525" w:rsidRDefault="003C0097" w:rsidP="003C0097">
      <w:pPr>
        <w:spacing w:after="0"/>
        <w:rPr>
          <w:rFonts w:cstheme="minorHAnsi"/>
          <w:u w:val="single"/>
        </w:rPr>
      </w:pPr>
      <w:proofErr w:type="spellStart"/>
      <w:r w:rsidRPr="00907525">
        <w:rPr>
          <w:rFonts w:cstheme="minorHAnsi"/>
          <w:u w:val="single"/>
        </w:rPr>
        <w:t>Molnupiravir</w:t>
      </w:r>
      <w:proofErr w:type="spellEnd"/>
    </w:p>
    <w:p w14:paraId="24DC8549" w14:textId="77777777" w:rsidR="003C0097" w:rsidRPr="00907525" w:rsidRDefault="003C0097" w:rsidP="003C0097">
      <w:pPr>
        <w:pStyle w:val="ListParagraph"/>
        <w:numPr>
          <w:ilvl w:val="0"/>
          <w:numId w:val="34"/>
        </w:numPr>
        <w:spacing w:after="0"/>
        <w:rPr>
          <w:rFonts w:cstheme="minorHAnsi"/>
        </w:rPr>
      </w:pPr>
      <w:r>
        <w:rPr>
          <w:rFonts w:cstheme="minorHAnsi"/>
        </w:rPr>
        <w:t>L</w:t>
      </w:r>
      <w:r w:rsidRPr="00907525">
        <w:rPr>
          <w:rFonts w:cstheme="minorHAnsi"/>
        </w:rPr>
        <w:t>ess than 18 years</w:t>
      </w:r>
      <w:r>
        <w:rPr>
          <w:rFonts w:cstheme="minorHAnsi"/>
        </w:rPr>
        <w:t xml:space="preserve"> of age</w:t>
      </w:r>
    </w:p>
    <w:p w14:paraId="3AF21A76" w14:textId="77777777" w:rsidR="003C0097" w:rsidRDefault="003C0097" w:rsidP="003C0097">
      <w:pPr>
        <w:pStyle w:val="ListParagraph"/>
        <w:numPr>
          <w:ilvl w:val="0"/>
          <w:numId w:val="34"/>
        </w:numPr>
        <w:spacing w:after="0"/>
        <w:rPr>
          <w:rFonts w:cstheme="minorHAnsi"/>
        </w:rPr>
      </w:pPr>
      <w:r w:rsidRPr="00907525">
        <w:rPr>
          <w:rFonts w:cstheme="minorHAnsi"/>
        </w:rPr>
        <w:t>Pregnancy</w:t>
      </w:r>
      <w:r>
        <w:rPr>
          <w:rFonts w:cstheme="minorHAnsi"/>
        </w:rPr>
        <w:t xml:space="preserve"> or possibility of being </w:t>
      </w:r>
      <w:proofErr w:type="gramStart"/>
      <w:r>
        <w:rPr>
          <w:rFonts w:cstheme="minorHAnsi"/>
        </w:rPr>
        <w:t>pregnant</w:t>
      </w:r>
      <w:proofErr w:type="gramEnd"/>
    </w:p>
    <w:p w14:paraId="4595CDE6" w14:textId="52228C3E" w:rsidR="003C0097" w:rsidRPr="003C0097" w:rsidRDefault="003C0097" w:rsidP="003C0097">
      <w:pPr>
        <w:pStyle w:val="ListParagraph"/>
        <w:numPr>
          <w:ilvl w:val="0"/>
          <w:numId w:val="34"/>
        </w:numPr>
        <w:rPr>
          <w:rFonts w:cstheme="minorHAnsi"/>
        </w:rPr>
      </w:pPr>
      <w:r w:rsidRPr="00907525">
        <w:rPr>
          <w:rFonts w:cstheme="minorHAnsi"/>
        </w:rPr>
        <w:t xml:space="preserve">Swallowing difficulties. Capsules are 22mm x 7mm, cannot be opened and four capsules need to be taken twice a day for five </w:t>
      </w:r>
      <w:proofErr w:type="gramStart"/>
      <w:r w:rsidRPr="00907525">
        <w:rPr>
          <w:rFonts w:cstheme="minorHAnsi"/>
        </w:rPr>
        <w:t>days</w:t>
      </w:r>
      <w:proofErr w:type="gramEnd"/>
    </w:p>
    <w:p w14:paraId="3DF12FE3" w14:textId="77777777" w:rsidR="00352AF6" w:rsidRDefault="00352AF6" w:rsidP="00907525">
      <w:pPr>
        <w:spacing w:after="0"/>
        <w:rPr>
          <w:rFonts w:cstheme="minorHAnsi"/>
          <w:b/>
          <w:sz w:val="18"/>
          <w:szCs w:val="18"/>
        </w:rPr>
      </w:pPr>
    </w:p>
    <w:p w14:paraId="20523730" w14:textId="77777777" w:rsidR="00D21A8D" w:rsidRPr="00907525" w:rsidRDefault="00D21A8D" w:rsidP="00907525">
      <w:pPr>
        <w:spacing w:after="0"/>
        <w:rPr>
          <w:rFonts w:cstheme="minorHAnsi"/>
          <w:b/>
          <w:sz w:val="18"/>
          <w:szCs w:val="18"/>
        </w:rPr>
      </w:pPr>
    </w:p>
    <w:p w14:paraId="220547DF" w14:textId="77777777" w:rsidR="001819E1" w:rsidRDefault="001819E1" w:rsidP="001819E1">
      <w:pPr>
        <w:spacing w:after="0"/>
        <w:rPr>
          <w:rFonts w:cstheme="minorHAnsi"/>
          <w:b/>
        </w:rPr>
      </w:pPr>
      <w:r w:rsidRPr="00BF041B">
        <w:rPr>
          <w:rFonts w:cstheme="minorHAnsi"/>
          <w:b/>
        </w:rPr>
        <w:t>Pregnancy and women of childbearing potential</w:t>
      </w:r>
    </w:p>
    <w:p w14:paraId="06762AD6" w14:textId="77777777" w:rsidR="001819E1" w:rsidRDefault="001819E1" w:rsidP="001819E1">
      <w:pPr>
        <w:spacing w:after="0"/>
        <w:rPr>
          <w:rFonts w:cstheme="minorHAnsi"/>
          <w:u w:val="single"/>
        </w:rPr>
      </w:pPr>
    </w:p>
    <w:p w14:paraId="4D88E484" w14:textId="5E02150C" w:rsidR="001819E1" w:rsidRPr="001819E1" w:rsidRDefault="00C4640E" w:rsidP="001819E1">
      <w:pPr>
        <w:spacing w:after="0"/>
        <w:rPr>
          <w:rFonts w:cstheme="minorHAnsi"/>
          <w:u w:val="single"/>
        </w:rPr>
      </w:pPr>
      <w:r>
        <w:rPr>
          <w:rFonts w:cstheme="minorHAnsi"/>
          <w:u w:val="single"/>
        </w:rPr>
        <w:t>Nirmatrelvir</w:t>
      </w:r>
      <w:r w:rsidR="001819E1" w:rsidRPr="00907525">
        <w:rPr>
          <w:rFonts w:cstheme="minorHAnsi"/>
          <w:u w:val="single"/>
        </w:rPr>
        <w:t xml:space="preserve"> plus ritonavir</w:t>
      </w:r>
    </w:p>
    <w:p w14:paraId="3FA2FBC5" w14:textId="05AAD747" w:rsidR="001819E1" w:rsidRPr="0034139F" w:rsidRDefault="00C4640E" w:rsidP="001819E1">
      <w:pPr>
        <w:spacing w:after="0"/>
        <w:rPr>
          <w:color w:val="221F1F"/>
          <w:sz w:val="23"/>
          <w:szCs w:val="23"/>
        </w:rPr>
      </w:pPr>
      <w:proofErr w:type="spellStart"/>
      <w:r>
        <w:rPr>
          <w:rFonts w:cstheme="minorHAnsi"/>
          <w:u w:val="single"/>
        </w:rPr>
        <w:t>Nirmaltrelvir</w:t>
      </w:r>
      <w:proofErr w:type="spellEnd"/>
      <w:r w:rsidR="001819E1">
        <w:rPr>
          <w:rFonts w:cstheme="minorHAnsi"/>
          <w:u w:val="single"/>
        </w:rPr>
        <w:t xml:space="preserve"> </w:t>
      </w:r>
      <w:r w:rsidR="00C97542">
        <w:rPr>
          <w:rFonts w:cstheme="minorHAnsi"/>
          <w:u w:val="single"/>
        </w:rPr>
        <w:t>plus</w:t>
      </w:r>
      <w:r w:rsidR="001819E1">
        <w:rPr>
          <w:rFonts w:cstheme="minorHAnsi"/>
          <w:u w:val="single"/>
        </w:rPr>
        <w:t xml:space="preserve"> </w:t>
      </w:r>
      <w:proofErr w:type="spellStart"/>
      <w:r w:rsidR="001819E1">
        <w:rPr>
          <w:rFonts w:cstheme="minorHAnsi"/>
          <w:u w:val="single"/>
        </w:rPr>
        <w:t>ritonavit</w:t>
      </w:r>
      <w:proofErr w:type="spellEnd"/>
      <w:r w:rsidR="001819E1">
        <w:rPr>
          <w:rFonts w:cstheme="minorHAnsi"/>
          <w:u w:val="single"/>
        </w:rPr>
        <w:t xml:space="preserve"> </w:t>
      </w:r>
      <w:r w:rsidR="001819E1" w:rsidRPr="00156F8E">
        <w:rPr>
          <w:rFonts w:cstheme="minorHAnsi"/>
          <w:u w:val="single"/>
        </w:rPr>
        <w:t>is not recommended during pregnancy</w:t>
      </w:r>
      <w:r w:rsidR="001819E1" w:rsidRPr="00BF041B">
        <w:rPr>
          <w:rFonts w:cstheme="minorHAnsi"/>
        </w:rPr>
        <w:t xml:space="preserve">. </w:t>
      </w:r>
      <w:r w:rsidR="001819E1">
        <w:rPr>
          <w:color w:val="221F1F"/>
          <w:sz w:val="23"/>
          <w:szCs w:val="23"/>
        </w:rPr>
        <w:t xml:space="preserve">There are no human data on the use </w:t>
      </w:r>
      <w:proofErr w:type="gramStart"/>
      <w:r w:rsidR="001819E1">
        <w:rPr>
          <w:color w:val="221F1F"/>
          <w:sz w:val="23"/>
          <w:szCs w:val="23"/>
        </w:rPr>
        <w:t xml:space="preserve">of </w:t>
      </w:r>
      <w:r>
        <w:rPr>
          <w:color w:val="221F1F"/>
          <w:sz w:val="23"/>
          <w:szCs w:val="23"/>
        </w:rPr>
        <w:t xml:space="preserve"> Nirmatrelvir</w:t>
      </w:r>
      <w:proofErr w:type="gramEnd"/>
      <w:r w:rsidR="001819E1">
        <w:rPr>
          <w:color w:val="221F1F"/>
          <w:sz w:val="23"/>
          <w:szCs w:val="23"/>
        </w:rPr>
        <w:t xml:space="preserve"> plus ritonavir during pregnancy to inform the drug-associated risk of adverse developmental outcomes, women of childbearing potential should avoid becoming pregnant during treatment with </w:t>
      </w:r>
      <w:r>
        <w:rPr>
          <w:color w:val="221F1F"/>
          <w:sz w:val="23"/>
          <w:szCs w:val="23"/>
        </w:rPr>
        <w:t xml:space="preserve"> Nirmatrelvir</w:t>
      </w:r>
      <w:r w:rsidR="001819E1">
        <w:rPr>
          <w:color w:val="221F1F"/>
          <w:sz w:val="23"/>
          <w:szCs w:val="23"/>
        </w:rPr>
        <w:t xml:space="preserve"> plus ritonavir. </w:t>
      </w:r>
      <w:r>
        <w:rPr>
          <w:color w:val="221F1F"/>
          <w:sz w:val="23"/>
          <w:szCs w:val="23"/>
        </w:rPr>
        <w:t xml:space="preserve"> </w:t>
      </w:r>
      <w:r w:rsidRPr="00C97542">
        <w:rPr>
          <w:color w:val="221F1F"/>
          <w:sz w:val="23"/>
          <w:szCs w:val="23"/>
          <w:u w:val="single"/>
        </w:rPr>
        <w:t>Nirmatrelvir</w:t>
      </w:r>
      <w:r w:rsidR="001819E1" w:rsidRPr="00C97542">
        <w:rPr>
          <w:color w:val="221F1F"/>
          <w:sz w:val="23"/>
          <w:szCs w:val="23"/>
          <w:u w:val="single"/>
        </w:rPr>
        <w:t xml:space="preserve"> plus ritonavir is not recommended in women of childbearing potential not using effective contraception</w:t>
      </w:r>
      <w:r w:rsidR="001819E1">
        <w:rPr>
          <w:color w:val="221F1F"/>
          <w:sz w:val="23"/>
          <w:szCs w:val="23"/>
        </w:rPr>
        <w:t>.</w:t>
      </w:r>
    </w:p>
    <w:p w14:paraId="7838B0AF" w14:textId="77777777" w:rsidR="001819E1" w:rsidRDefault="001819E1" w:rsidP="001819E1">
      <w:pPr>
        <w:spacing w:after="0"/>
        <w:rPr>
          <w:rFonts w:cstheme="minorHAnsi"/>
          <w:u w:val="single"/>
        </w:rPr>
      </w:pPr>
    </w:p>
    <w:p w14:paraId="537F1657" w14:textId="6CBFB52D" w:rsidR="001819E1" w:rsidRDefault="001819E1" w:rsidP="001819E1">
      <w:pPr>
        <w:spacing w:after="0"/>
        <w:rPr>
          <w:rFonts w:cstheme="minorHAnsi"/>
        </w:rPr>
      </w:pPr>
      <w:r w:rsidRPr="0034139F">
        <w:rPr>
          <w:rFonts w:cstheme="minorHAnsi"/>
          <w:u w:val="single"/>
        </w:rPr>
        <w:t>Use of ritonavir may reduce the efficacy of combined hormonal contraceptives</w:t>
      </w:r>
      <w:r w:rsidRPr="0034139F">
        <w:rPr>
          <w:rFonts w:cstheme="minorHAnsi"/>
        </w:rPr>
        <w:t>. Patients using combined hormonal contraceptives should be advised to use an effective alternative contraceptive method or an additional barrier method of contraception during treatment and until after one complete menstrual cy</w:t>
      </w:r>
      <w:r>
        <w:rPr>
          <w:rFonts w:cstheme="minorHAnsi"/>
        </w:rPr>
        <w:t xml:space="preserve">cle after </w:t>
      </w:r>
      <w:proofErr w:type="gramStart"/>
      <w:r>
        <w:rPr>
          <w:rFonts w:cstheme="minorHAnsi"/>
        </w:rPr>
        <w:t xml:space="preserve">stopping </w:t>
      </w:r>
      <w:r w:rsidR="00C4640E">
        <w:rPr>
          <w:rFonts w:cstheme="minorHAnsi"/>
        </w:rPr>
        <w:t xml:space="preserve"> </w:t>
      </w:r>
      <w:proofErr w:type="spellStart"/>
      <w:r w:rsidR="00C4640E">
        <w:rPr>
          <w:rFonts w:cstheme="minorHAnsi"/>
        </w:rPr>
        <w:t>Nirmaltrelvir</w:t>
      </w:r>
      <w:proofErr w:type="spellEnd"/>
      <w:proofErr w:type="gramEnd"/>
      <w:r>
        <w:rPr>
          <w:rFonts w:cstheme="minorHAnsi"/>
        </w:rPr>
        <w:t xml:space="preserve"> </w:t>
      </w:r>
      <w:r w:rsidRPr="0034139F">
        <w:rPr>
          <w:rFonts w:cstheme="minorHAnsi"/>
        </w:rPr>
        <w:t>plus ritonavir.</w:t>
      </w:r>
    </w:p>
    <w:p w14:paraId="202E1F11" w14:textId="77777777" w:rsidR="00907525" w:rsidRDefault="00907525" w:rsidP="0034139F">
      <w:pPr>
        <w:spacing w:after="0"/>
        <w:rPr>
          <w:rFonts w:cstheme="minorHAnsi"/>
          <w:b/>
        </w:rPr>
      </w:pPr>
    </w:p>
    <w:p w14:paraId="048BE19A" w14:textId="77777777" w:rsidR="00D21A8D" w:rsidRDefault="00D21A8D" w:rsidP="001819E1">
      <w:pPr>
        <w:spacing w:after="0"/>
        <w:rPr>
          <w:rFonts w:cstheme="minorHAnsi"/>
          <w:u w:val="single"/>
        </w:rPr>
      </w:pPr>
    </w:p>
    <w:p w14:paraId="0316FAEB" w14:textId="0D1BF4D2" w:rsidR="001819E1" w:rsidRPr="001819E1" w:rsidRDefault="001819E1" w:rsidP="001819E1">
      <w:pPr>
        <w:spacing w:after="0"/>
        <w:rPr>
          <w:rFonts w:cstheme="minorHAnsi"/>
          <w:u w:val="single"/>
        </w:rPr>
      </w:pPr>
      <w:proofErr w:type="spellStart"/>
      <w:r w:rsidRPr="001819E1">
        <w:rPr>
          <w:rFonts w:cstheme="minorHAnsi"/>
          <w:u w:val="single"/>
        </w:rPr>
        <w:t>Molnupiravir</w:t>
      </w:r>
      <w:proofErr w:type="spellEnd"/>
    </w:p>
    <w:p w14:paraId="246AA558" w14:textId="4168C157" w:rsidR="00907525" w:rsidRDefault="001819E1" w:rsidP="001819E1">
      <w:pPr>
        <w:spacing w:after="0"/>
        <w:rPr>
          <w:rFonts w:cstheme="minorHAnsi"/>
          <w:b/>
        </w:rPr>
      </w:pPr>
      <w:r w:rsidRPr="001819E1">
        <w:rPr>
          <w:rFonts w:cstheme="minorHAnsi"/>
        </w:rPr>
        <w:t xml:space="preserve">There are no data from the use of </w:t>
      </w:r>
      <w:proofErr w:type="spellStart"/>
      <w:r w:rsidRPr="001819E1">
        <w:rPr>
          <w:rFonts w:cstheme="minorHAnsi"/>
        </w:rPr>
        <w:t>molnupiravir</w:t>
      </w:r>
      <w:proofErr w:type="spellEnd"/>
      <w:r w:rsidRPr="001819E1">
        <w:rPr>
          <w:rFonts w:cstheme="minorHAnsi"/>
        </w:rPr>
        <w:t xml:space="preserve"> in pregnant women. Studies in animals have shown reproductive toxicity. </w:t>
      </w:r>
      <w:proofErr w:type="spellStart"/>
      <w:r w:rsidRPr="001819E1">
        <w:rPr>
          <w:rFonts w:cstheme="minorHAnsi"/>
        </w:rPr>
        <w:t>Molnupiravir</w:t>
      </w:r>
      <w:proofErr w:type="spellEnd"/>
      <w:r w:rsidRPr="001819E1">
        <w:rPr>
          <w:rFonts w:cstheme="minorHAnsi"/>
        </w:rPr>
        <w:t xml:space="preserve"> </w:t>
      </w:r>
      <w:r w:rsidRPr="001819E1">
        <w:rPr>
          <w:rFonts w:cstheme="minorHAnsi"/>
          <w:u w:val="single"/>
        </w:rPr>
        <w:t>is not recommended</w:t>
      </w:r>
      <w:r w:rsidRPr="001819E1">
        <w:rPr>
          <w:rFonts w:cstheme="minorHAnsi"/>
        </w:rPr>
        <w:t xml:space="preserve"> during pregnancy. Individuals of childbearing potential should use effective contraception for the duration of treatment and for 4 days after the last dose of </w:t>
      </w:r>
      <w:proofErr w:type="spellStart"/>
      <w:r w:rsidRPr="001819E1">
        <w:rPr>
          <w:rFonts w:cstheme="minorHAnsi"/>
        </w:rPr>
        <w:t>molnupiravir</w:t>
      </w:r>
      <w:proofErr w:type="spellEnd"/>
      <w:r w:rsidRPr="001819E1">
        <w:rPr>
          <w:rFonts w:cstheme="minorHAnsi"/>
          <w:b/>
        </w:rPr>
        <w:t>.</w:t>
      </w:r>
    </w:p>
    <w:p w14:paraId="07D30908" w14:textId="77777777" w:rsidR="00E540F9" w:rsidRDefault="00E540F9" w:rsidP="00C97542">
      <w:pPr>
        <w:spacing w:after="0"/>
        <w:rPr>
          <w:rFonts w:cstheme="minorHAnsi"/>
          <w:u w:val="single"/>
        </w:rPr>
      </w:pPr>
    </w:p>
    <w:p w14:paraId="507503EE" w14:textId="625C3E68" w:rsidR="00C97542" w:rsidRPr="001819E1" w:rsidRDefault="00C97542" w:rsidP="00C97542">
      <w:pPr>
        <w:spacing w:after="0"/>
        <w:rPr>
          <w:rFonts w:cstheme="minorHAnsi"/>
          <w:u w:val="single"/>
        </w:rPr>
      </w:pPr>
      <w:r w:rsidRPr="001819E1">
        <w:rPr>
          <w:rFonts w:cstheme="minorHAnsi"/>
          <w:u w:val="single"/>
        </w:rPr>
        <w:t>Sotrovimab</w:t>
      </w:r>
    </w:p>
    <w:p w14:paraId="1C24F26D" w14:textId="317D7C64" w:rsidR="00C97542" w:rsidRPr="00E540F9" w:rsidRDefault="00C97542" w:rsidP="001819E1">
      <w:pPr>
        <w:spacing w:after="0"/>
        <w:rPr>
          <w:rFonts w:cstheme="minorHAnsi"/>
        </w:rPr>
      </w:pPr>
      <w:r w:rsidRPr="001819E1">
        <w:rPr>
          <w:rFonts w:cstheme="minorHAnsi"/>
        </w:rPr>
        <w:t>There are no data from the use of sotrovimab in pregnant women. The SmPC for sotrovimab states that sotrovimab may be used during pregnancy where the expected benefit to the mother justifies the risk to the foetus.</w:t>
      </w:r>
    </w:p>
    <w:p w14:paraId="6613679E" w14:textId="77777777" w:rsidR="00485C5F" w:rsidRDefault="00485C5F" w:rsidP="00AE12C4">
      <w:pPr>
        <w:spacing w:before="120" w:after="0" w:line="240" w:lineRule="auto"/>
        <w:rPr>
          <w:rFonts w:eastAsia="Times New Roman" w:cstheme="minorHAnsi"/>
          <w:b/>
          <w:bCs/>
          <w:iCs/>
          <w:lang w:eastAsia="en-GB"/>
        </w:rPr>
      </w:pPr>
    </w:p>
    <w:p w14:paraId="598EE237" w14:textId="265DCE46" w:rsidR="003C0097" w:rsidRDefault="00AE12C4" w:rsidP="00AE12C4">
      <w:pPr>
        <w:spacing w:before="120" w:after="0" w:line="240" w:lineRule="auto"/>
        <w:rPr>
          <w:rFonts w:eastAsia="Times New Roman" w:cstheme="minorHAnsi"/>
          <w:b/>
          <w:bCs/>
          <w:iCs/>
          <w:lang w:eastAsia="en-GB"/>
        </w:rPr>
      </w:pPr>
      <w:r w:rsidRPr="00782398">
        <w:rPr>
          <w:rFonts w:eastAsia="Times New Roman" w:cstheme="minorHAnsi"/>
          <w:b/>
          <w:bCs/>
          <w:iCs/>
          <w:lang w:eastAsia="en-GB"/>
        </w:rPr>
        <w:t>Breastfeeding</w:t>
      </w:r>
    </w:p>
    <w:p w14:paraId="790834DA" w14:textId="77777777" w:rsidR="00D21A8D" w:rsidRPr="003C0097" w:rsidRDefault="00D21A8D" w:rsidP="00AE12C4">
      <w:pPr>
        <w:spacing w:before="120" w:after="0" w:line="240" w:lineRule="auto"/>
        <w:rPr>
          <w:rFonts w:eastAsia="Times New Roman" w:cstheme="minorHAnsi"/>
          <w:b/>
          <w:bCs/>
          <w:iCs/>
          <w:lang w:eastAsia="en-GB"/>
        </w:rPr>
      </w:pPr>
    </w:p>
    <w:p w14:paraId="5A4FABFA" w14:textId="6A7CDB48" w:rsidR="00AE12C4" w:rsidRPr="00782398" w:rsidRDefault="00AE12C4" w:rsidP="00AE12C4">
      <w:pPr>
        <w:spacing w:before="120" w:after="0" w:line="240" w:lineRule="auto"/>
        <w:rPr>
          <w:rFonts w:eastAsia="Times New Roman" w:cstheme="minorHAnsi"/>
          <w:iCs/>
          <w:u w:val="single"/>
          <w:lang w:eastAsia="en-GB"/>
        </w:rPr>
      </w:pPr>
      <w:r w:rsidRPr="00782398">
        <w:rPr>
          <w:rFonts w:eastAsia="Times New Roman" w:cstheme="minorHAnsi"/>
          <w:iCs/>
          <w:u w:val="single"/>
          <w:lang w:eastAsia="en-GB"/>
        </w:rPr>
        <w:t xml:space="preserve">Nirmatrelvir </w:t>
      </w:r>
      <w:r w:rsidR="00C97542">
        <w:rPr>
          <w:rFonts w:eastAsia="Times New Roman" w:cstheme="minorHAnsi"/>
          <w:iCs/>
          <w:u w:val="single"/>
          <w:lang w:eastAsia="en-GB"/>
        </w:rPr>
        <w:t>plus</w:t>
      </w:r>
      <w:r w:rsidRPr="00782398">
        <w:rPr>
          <w:rFonts w:eastAsia="Times New Roman" w:cstheme="minorHAnsi"/>
          <w:iCs/>
          <w:u w:val="single"/>
          <w:lang w:eastAsia="en-GB"/>
        </w:rPr>
        <w:t xml:space="preserve"> ritonavir </w:t>
      </w:r>
    </w:p>
    <w:p w14:paraId="2A2580A9" w14:textId="4C709239" w:rsidR="00AE12C4" w:rsidRDefault="00AE12C4" w:rsidP="00AE12C4">
      <w:pPr>
        <w:spacing w:before="120" w:after="0" w:line="240" w:lineRule="auto"/>
        <w:rPr>
          <w:rFonts w:eastAsia="Times New Roman" w:cstheme="minorHAnsi"/>
          <w:lang w:eastAsia="en-GB"/>
        </w:rPr>
      </w:pPr>
      <w:r w:rsidRPr="00782398">
        <w:rPr>
          <w:rFonts w:eastAsia="Times New Roman" w:cstheme="minorHAnsi"/>
          <w:lang w:eastAsia="en-GB"/>
        </w:rPr>
        <w:t xml:space="preserve">There are no human data on the use of </w:t>
      </w:r>
      <w:bookmarkStart w:id="0" w:name="_Hlk105587667"/>
      <w:r w:rsidRPr="00782398">
        <w:rPr>
          <w:rFonts w:eastAsia="Times New Roman" w:cstheme="minorHAnsi"/>
          <w:bCs/>
          <w:lang w:eastAsia="en-GB"/>
        </w:rPr>
        <w:t>Nirmatrelvir and ritonavir</w:t>
      </w:r>
      <w:r w:rsidRPr="00782398">
        <w:rPr>
          <w:rFonts w:eastAsia="Times New Roman" w:cstheme="minorHAnsi"/>
          <w:lang w:eastAsia="en-GB"/>
        </w:rPr>
        <w:t xml:space="preserve"> </w:t>
      </w:r>
      <w:bookmarkEnd w:id="0"/>
      <w:r w:rsidRPr="00782398">
        <w:rPr>
          <w:rFonts w:eastAsia="Times New Roman" w:cstheme="minorHAnsi"/>
          <w:lang w:eastAsia="en-GB"/>
        </w:rPr>
        <w:t xml:space="preserve">in breastfeeding. It is unknown whether </w:t>
      </w:r>
      <w:r>
        <w:rPr>
          <w:rFonts w:eastAsia="Times New Roman" w:cstheme="minorHAnsi"/>
          <w:lang w:eastAsia="en-GB"/>
        </w:rPr>
        <w:t>N</w:t>
      </w:r>
      <w:r w:rsidRPr="00782398">
        <w:rPr>
          <w:rFonts w:eastAsia="Times New Roman" w:cstheme="minorHAnsi"/>
          <w:lang w:eastAsia="en-GB"/>
        </w:rPr>
        <w:t xml:space="preserve">irmatrelvir is excreted in human or animal milk, and the effects of it on the breast fed </w:t>
      </w:r>
      <w:proofErr w:type="spellStart"/>
      <w:r w:rsidRPr="00782398">
        <w:rPr>
          <w:rFonts w:eastAsia="Times New Roman" w:cstheme="minorHAnsi"/>
          <w:lang w:eastAsia="en-GB"/>
        </w:rPr>
        <w:t>newborn</w:t>
      </w:r>
      <w:proofErr w:type="spellEnd"/>
      <w:r w:rsidRPr="00782398">
        <w:rPr>
          <w:rFonts w:eastAsia="Times New Roman" w:cstheme="minorHAnsi"/>
          <w:lang w:eastAsia="en-GB"/>
        </w:rPr>
        <w:t>/infant, or the effects on milk production.</w:t>
      </w:r>
    </w:p>
    <w:p w14:paraId="2674EB7F" w14:textId="76EF6B08" w:rsidR="008A2154" w:rsidRDefault="00AE12C4" w:rsidP="00AE12C4">
      <w:pPr>
        <w:spacing w:before="120" w:after="0" w:line="240" w:lineRule="auto"/>
        <w:rPr>
          <w:rFonts w:eastAsia="Times New Roman" w:cstheme="minorHAnsi"/>
          <w:lang w:eastAsia="en-GB"/>
        </w:rPr>
      </w:pPr>
      <w:r w:rsidRPr="00782398">
        <w:rPr>
          <w:rFonts w:eastAsia="Times New Roman" w:cstheme="minorHAnsi"/>
          <w:lang w:eastAsia="en-GB"/>
        </w:rPr>
        <w:t xml:space="preserve">Limited published data reports that ritonavir is present in human milk. There is no information on the effects of ritonavir on the breast-fed </w:t>
      </w:r>
      <w:proofErr w:type="spellStart"/>
      <w:r w:rsidRPr="00782398">
        <w:rPr>
          <w:rFonts w:eastAsia="Times New Roman" w:cstheme="minorHAnsi"/>
          <w:lang w:eastAsia="en-GB"/>
        </w:rPr>
        <w:t>newborn</w:t>
      </w:r>
      <w:proofErr w:type="spellEnd"/>
      <w:r w:rsidRPr="00782398">
        <w:rPr>
          <w:rFonts w:eastAsia="Times New Roman" w:cstheme="minorHAnsi"/>
          <w:lang w:eastAsia="en-GB"/>
        </w:rPr>
        <w:t xml:space="preserve">/infant or the effects of the medicinal product on milk production. A risk to the </w:t>
      </w:r>
      <w:proofErr w:type="spellStart"/>
      <w:r w:rsidRPr="00782398">
        <w:rPr>
          <w:rFonts w:eastAsia="Times New Roman" w:cstheme="minorHAnsi"/>
          <w:lang w:eastAsia="en-GB"/>
        </w:rPr>
        <w:t>newborn</w:t>
      </w:r>
      <w:proofErr w:type="spellEnd"/>
      <w:r w:rsidRPr="00782398">
        <w:rPr>
          <w:rFonts w:eastAsia="Times New Roman" w:cstheme="minorHAnsi"/>
          <w:lang w:eastAsia="en-GB"/>
        </w:rPr>
        <w:t xml:space="preserve">/infant cannot be excluded. </w:t>
      </w:r>
      <w:r w:rsidRPr="00782398">
        <w:rPr>
          <w:rFonts w:eastAsia="Times New Roman" w:cstheme="minorHAnsi"/>
          <w:u w:val="single"/>
          <w:lang w:eastAsia="en-GB"/>
        </w:rPr>
        <w:t>Breast feeding should be discontinued during treatment with Paxlovid and for 7 days after the last dose of Paxlovid</w:t>
      </w:r>
      <w:r w:rsidRPr="00782398">
        <w:rPr>
          <w:rFonts w:eastAsia="Times New Roman" w:cstheme="minorHAnsi"/>
          <w:lang w:eastAsia="en-GB"/>
        </w:rPr>
        <w:t>.</w:t>
      </w:r>
    </w:p>
    <w:p w14:paraId="59EA0093" w14:textId="77777777" w:rsidR="008A2154" w:rsidRPr="008A2154" w:rsidRDefault="008A2154" w:rsidP="00AE12C4">
      <w:pPr>
        <w:spacing w:before="120" w:after="0" w:line="240" w:lineRule="auto"/>
        <w:rPr>
          <w:rFonts w:eastAsia="Times New Roman" w:cstheme="minorHAnsi"/>
          <w:lang w:eastAsia="en-GB"/>
        </w:rPr>
      </w:pPr>
    </w:p>
    <w:p w14:paraId="272D130F" w14:textId="6E7B204E" w:rsidR="008A2154" w:rsidRDefault="008A2154" w:rsidP="00AE12C4">
      <w:pPr>
        <w:spacing w:before="120" w:after="0" w:line="240" w:lineRule="auto"/>
        <w:rPr>
          <w:rFonts w:eastAsia="Times New Roman" w:cstheme="minorHAnsi"/>
          <w:u w:val="single"/>
          <w:lang w:eastAsia="en-GB"/>
        </w:rPr>
      </w:pPr>
      <w:proofErr w:type="spellStart"/>
      <w:r>
        <w:rPr>
          <w:rFonts w:eastAsia="Times New Roman" w:cstheme="minorHAnsi"/>
          <w:u w:val="single"/>
          <w:lang w:eastAsia="en-GB"/>
        </w:rPr>
        <w:t>Molnupiravir</w:t>
      </w:r>
      <w:proofErr w:type="spellEnd"/>
    </w:p>
    <w:p w14:paraId="01598EDF" w14:textId="3457CD18" w:rsidR="008A2154" w:rsidRPr="008A2154" w:rsidRDefault="008A2154" w:rsidP="00AE12C4">
      <w:pPr>
        <w:spacing w:before="120" w:after="0" w:line="240" w:lineRule="auto"/>
        <w:rPr>
          <w:rFonts w:eastAsia="Times New Roman" w:cstheme="minorHAnsi"/>
          <w:lang w:eastAsia="en-GB"/>
        </w:rPr>
      </w:pPr>
      <w:r w:rsidRPr="008A2154">
        <w:rPr>
          <w:rFonts w:eastAsia="Times New Roman" w:cstheme="minorHAnsi"/>
          <w:lang w:eastAsia="en-GB"/>
        </w:rPr>
        <w:t xml:space="preserve">It is unknown whether </w:t>
      </w:r>
      <w:proofErr w:type="spellStart"/>
      <w:r>
        <w:rPr>
          <w:rFonts w:eastAsia="Times New Roman" w:cstheme="minorHAnsi"/>
          <w:lang w:eastAsia="en-GB"/>
        </w:rPr>
        <w:t>M</w:t>
      </w:r>
      <w:r w:rsidRPr="008A2154">
        <w:rPr>
          <w:rFonts w:eastAsia="Times New Roman" w:cstheme="minorHAnsi"/>
          <w:lang w:eastAsia="en-GB"/>
        </w:rPr>
        <w:t>olnupiravir</w:t>
      </w:r>
      <w:proofErr w:type="spellEnd"/>
      <w:r w:rsidRPr="008A2154">
        <w:rPr>
          <w:rFonts w:eastAsia="Times New Roman" w:cstheme="minorHAnsi"/>
          <w:lang w:eastAsia="en-GB"/>
        </w:rPr>
        <w:t xml:space="preserve"> or any of the metabolites of </w:t>
      </w:r>
      <w:proofErr w:type="spellStart"/>
      <w:r>
        <w:rPr>
          <w:rFonts w:eastAsia="Times New Roman" w:cstheme="minorHAnsi"/>
          <w:lang w:eastAsia="en-GB"/>
        </w:rPr>
        <w:t>M</w:t>
      </w:r>
      <w:r w:rsidRPr="008A2154">
        <w:rPr>
          <w:rFonts w:eastAsia="Times New Roman" w:cstheme="minorHAnsi"/>
          <w:lang w:eastAsia="en-GB"/>
        </w:rPr>
        <w:t>olnupiravir</w:t>
      </w:r>
      <w:proofErr w:type="spellEnd"/>
      <w:r w:rsidRPr="008A2154">
        <w:rPr>
          <w:rFonts w:eastAsia="Times New Roman" w:cstheme="minorHAnsi"/>
          <w:lang w:eastAsia="en-GB"/>
        </w:rPr>
        <w:t xml:space="preserve"> are present in human milk, affect human milk production, or have effect on the breastfed infant. Based on the potential for adverse reactions on the infant from </w:t>
      </w:r>
      <w:proofErr w:type="spellStart"/>
      <w:r>
        <w:rPr>
          <w:rFonts w:eastAsia="Times New Roman" w:cstheme="minorHAnsi"/>
          <w:lang w:eastAsia="en-GB"/>
        </w:rPr>
        <w:t>Molnupiravir</w:t>
      </w:r>
      <w:proofErr w:type="spellEnd"/>
      <w:r w:rsidRPr="008A2154">
        <w:rPr>
          <w:rFonts w:eastAsia="Times New Roman" w:cstheme="minorHAnsi"/>
          <w:lang w:eastAsia="en-GB"/>
        </w:rPr>
        <w:t xml:space="preserve">, breast-feeding is not recommended during treatment and for 4 days after the last dose of </w:t>
      </w:r>
      <w:proofErr w:type="spellStart"/>
      <w:r>
        <w:rPr>
          <w:rFonts w:eastAsia="Times New Roman" w:cstheme="minorHAnsi"/>
          <w:lang w:eastAsia="en-GB"/>
        </w:rPr>
        <w:t>Molnupiravir</w:t>
      </w:r>
      <w:proofErr w:type="spellEnd"/>
      <w:r w:rsidRPr="008A2154">
        <w:rPr>
          <w:rFonts w:eastAsia="Times New Roman" w:cstheme="minorHAnsi"/>
          <w:lang w:eastAsia="en-GB"/>
        </w:rPr>
        <w:t>.</w:t>
      </w:r>
    </w:p>
    <w:p w14:paraId="00858651" w14:textId="77777777" w:rsidR="008A2154" w:rsidRDefault="008A2154" w:rsidP="00EC3FED">
      <w:pPr>
        <w:spacing w:before="120" w:after="0" w:line="240" w:lineRule="auto"/>
        <w:rPr>
          <w:rFonts w:eastAsia="Times New Roman" w:cstheme="minorHAnsi"/>
          <w:u w:val="single"/>
          <w:lang w:eastAsia="en-GB"/>
        </w:rPr>
      </w:pPr>
    </w:p>
    <w:p w14:paraId="6444B1DE" w14:textId="0124EC2F" w:rsidR="00EC3FED" w:rsidRDefault="00EC3FED" w:rsidP="00EC3FED">
      <w:pPr>
        <w:spacing w:before="120" w:after="0" w:line="240" w:lineRule="auto"/>
        <w:rPr>
          <w:rFonts w:eastAsia="Times New Roman" w:cstheme="minorHAnsi"/>
          <w:u w:val="single"/>
          <w:lang w:eastAsia="en-GB"/>
        </w:rPr>
      </w:pPr>
      <w:r w:rsidRPr="00782398">
        <w:rPr>
          <w:rFonts w:eastAsia="Times New Roman" w:cstheme="minorHAnsi"/>
          <w:u w:val="single"/>
          <w:lang w:eastAsia="en-GB"/>
        </w:rPr>
        <w:t>Sotrovimab</w:t>
      </w:r>
    </w:p>
    <w:p w14:paraId="70238AE2" w14:textId="77777777" w:rsidR="00EC3FED" w:rsidRDefault="00AE12C4" w:rsidP="00EC3FED">
      <w:pPr>
        <w:spacing w:before="120" w:after="0" w:line="240" w:lineRule="auto"/>
        <w:rPr>
          <w:rFonts w:cstheme="minorHAnsi"/>
        </w:rPr>
      </w:pPr>
      <w:r w:rsidRPr="00EC3FED">
        <w:rPr>
          <w:rFonts w:cstheme="minorHAnsi"/>
        </w:rPr>
        <w:t xml:space="preserve">There are no data on the excretion of </w:t>
      </w:r>
      <w:r w:rsidR="00EC3FED">
        <w:rPr>
          <w:rFonts w:cstheme="minorHAnsi"/>
          <w:bCs/>
        </w:rPr>
        <w:t>S</w:t>
      </w:r>
      <w:r w:rsidRPr="00782398">
        <w:rPr>
          <w:rFonts w:cstheme="minorHAnsi"/>
          <w:bCs/>
        </w:rPr>
        <w:t>otrovimab</w:t>
      </w:r>
      <w:r w:rsidRPr="00EC3FED">
        <w:rPr>
          <w:rFonts w:cstheme="minorHAnsi"/>
        </w:rPr>
        <w:t xml:space="preserve"> in human milk. The potential treatment benefit or risk to the </w:t>
      </w:r>
      <w:proofErr w:type="spellStart"/>
      <w:r w:rsidRPr="00EC3FED">
        <w:rPr>
          <w:rFonts w:cstheme="minorHAnsi"/>
        </w:rPr>
        <w:t>newborn</w:t>
      </w:r>
      <w:proofErr w:type="spellEnd"/>
      <w:r w:rsidRPr="00EC3FED">
        <w:rPr>
          <w:rFonts w:cstheme="minorHAnsi"/>
        </w:rPr>
        <w:t xml:space="preserve"> or infants via breastfeeding is not known. </w:t>
      </w:r>
    </w:p>
    <w:p w14:paraId="5941CB26" w14:textId="4E5363AC" w:rsidR="00AE12C4" w:rsidRPr="00782398" w:rsidRDefault="00AE12C4" w:rsidP="00782398">
      <w:pPr>
        <w:spacing w:before="120" w:after="0" w:line="240" w:lineRule="auto"/>
        <w:rPr>
          <w:rFonts w:cstheme="minorHAnsi"/>
          <w:u w:val="single"/>
        </w:rPr>
      </w:pPr>
      <w:r w:rsidRPr="00FD0AC9">
        <w:rPr>
          <w:rFonts w:cstheme="minorHAnsi"/>
        </w:rPr>
        <w:t xml:space="preserve">Decisions on whether to breastfeed during treatment or to abstain from sotrovimab therapy should </w:t>
      </w:r>
      <w:proofErr w:type="gramStart"/>
      <w:r w:rsidRPr="00FD0AC9">
        <w:rPr>
          <w:rFonts w:cstheme="minorHAnsi"/>
        </w:rPr>
        <w:t>take into account</w:t>
      </w:r>
      <w:proofErr w:type="gramEnd"/>
      <w:r w:rsidRPr="00FD0AC9">
        <w:rPr>
          <w:rFonts w:cstheme="minorHAnsi"/>
        </w:rPr>
        <w:t xml:space="preserve"> the benefit of breast-feeding for the child and the benefit of therapy for the woman.</w:t>
      </w:r>
    </w:p>
    <w:p w14:paraId="2CC2FA31" w14:textId="77777777" w:rsidR="00EC3FED" w:rsidRDefault="00EC3FED" w:rsidP="001819E1">
      <w:pPr>
        <w:spacing w:after="0"/>
        <w:rPr>
          <w:rFonts w:cstheme="minorHAnsi"/>
          <w:b/>
        </w:rPr>
      </w:pPr>
    </w:p>
    <w:p w14:paraId="3D0DE7FC" w14:textId="77777777" w:rsidR="00E540F9" w:rsidRDefault="00E540F9" w:rsidP="001819E1">
      <w:pPr>
        <w:spacing w:after="0"/>
        <w:rPr>
          <w:rFonts w:cstheme="minorHAnsi"/>
          <w:b/>
        </w:rPr>
      </w:pPr>
    </w:p>
    <w:p w14:paraId="7CB0D3BD" w14:textId="77777777" w:rsidR="00D21A8D" w:rsidRDefault="00D21A8D" w:rsidP="001819E1">
      <w:pPr>
        <w:spacing w:after="0"/>
        <w:rPr>
          <w:rFonts w:cstheme="minorHAnsi"/>
          <w:b/>
        </w:rPr>
      </w:pPr>
    </w:p>
    <w:p w14:paraId="7B1903AE" w14:textId="77777777" w:rsidR="00D21A8D" w:rsidRDefault="00D21A8D" w:rsidP="001819E1">
      <w:pPr>
        <w:spacing w:after="0"/>
        <w:rPr>
          <w:rFonts w:cstheme="minorHAnsi"/>
          <w:b/>
        </w:rPr>
      </w:pPr>
    </w:p>
    <w:p w14:paraId="20F50B15" w14:textId="77777777" w:rsidR="00D21A8D" w:rsidRDefault="00D21A8D" w:rsidP="001819E1">
      <w:pPr>
        <w:spacing w:after="0"/>
        <w:rPr>
          <w:rFonts w:cstheme="minorHAnsi"/>
          <w:b/>
        </w:rPr>
      </w:pPr>
    </w:p>
    <w:p w14:paraId="4895F518" w14:textId="77777777" w:rsidR="00D21A8D" w:rsidRDefault="00D21A8D" w:rsidP="001819E1">
      <w:pPr>
        <w:spacing w:after="0"/>
        <w:rPr>
          <w:rFonts w:cstheme="minorHAnsi"/>
          <w:b/>
        </w:rPr>
      </w:pPr>
    </w:p>
    <w:p w14:paraId="5DBD5C9B" w14:textId="77777777" w:rsidR="00D21A8D" w:rsidRDefault="00D21A8D" w:rsidP="001819E1">
      <w:pPr>
        <w:spacing w:after="0"/>
        <w:rPr>
          <w:rFonts w:cstheme="minorHAnsi"/>
          <w:b/>
        </w:rPr>
      </w:pPr>
    </w:p>
    <w:p w14:paraId="5E2EF2EC" w14:textId="77777777" w:rsidR="00D21A8D" w:rsidRDefault="00D21A8D" w:rsidP="001819E1">
      <w:pPr>
        <w:spacing w:after="0"/>
        <w:rPr>
          <w:rFonts w:cstheme="minorHAnsi"/>
          <w:b/>
        </w:rPr>
      </w:pPr>
    </w:p>
    <w:p w14:paraId="4EB5864C" w14:textId="77777777" w:rsidR="00D21A8D" w:rsidRDefault="00D21A8D" w:rsidP="001819E1">
      <w:pPr>
        <w:spacing w:after="0"/>
        <w:rPr>
          <w:rFonts w:cstheme="minorHAnsi"/>
          <w:b/>
        </w:rPr>
      </w:pPr>
    </w:p>
    <w:p w14:paraId="55C1F435" w14:textId="77777777" w:rsidR="00D21A8D" w:rsidRDefault="00D21A8D" w:rsidP="001819E1">
      <w:pPr>
        <w:spacing w:after="0"/>
        <w:rPr>
          <w:rFonts w:cstheme="minorHAnsi"/>
          <w:b/>
        </w:rPr>
      </w:pPr>
    </w:p>
    <w:p w14:paraId="1CAAE0AF" w14:textId="77777777" w:rsidR="00D21A8D" w:rsidRDefault="00D21A8D" w:rsidP="001819E1">
      <w:pPr>
        <w:spacing w:after="0"/>
        <w:rPr>
          <w:rFonts w:cstheme="minorHAnsi"/>
          <w:b/>
        </w:rPr>
      </w:pPr>
    </w:p>
    <w:p w14:paraId="09B9B416" w14:textId="77777777" w:rsidR="00D21A8D" w:rsidRDefault="00D21A8D" w:rsidP="001819E1">
      <w:pPr>
        <w:spacing w:after="0"/>
        <w:rPr>
          <w:rFonts w:cstheme="minorHAnsi"/>
          <w:b/>
        </w:rPr>
      </w:pPr>
    </w:p>
    <w:p w14:paraId="06B8076A" w14:textId="627A5271" w:rsidR="001819E1" w:rsidRDefault="001819E1" w:rsidP="001819E1">
      <w:pPr>
        <w:spacing w:after="0"/>
        <w:rPr>
          <w:rFonts w:cstheme="minorHAnsi"/>
          <w:b/>
        </w:rPr>
      </w:pPr>
      <w:r w:rsidRPr="00BF041B">
        <w:rPr>
          <w:rFonts w:cstheme="minorHAnsi"/>
          <w:b/>
        </w:rPr>
        <w:t>Dose and administration</w:t>
      </w:r>
    </w:p>
    <w:p w14:paraId="0A1CC069" w14:textId="77777777" w:rsidR="001819E1" w:rsidRDefault="001819E1" w:rsidP="001819E1">
      <w:pPr>
        <w:spacing w:after="0"/>
        <w:rPr>
          <w:rFonts w:cstheme="minorHAnsi"/>
        </w:rPr>
      </w:pPr>
    </w:p>
    <w:p w14:paraId="0C0E2AAE" w14:textId="3C56E0E5" w:rsidR="001819E1" w:rsidRPr="001819E1" w:rsidRDefault="00C4640E" w:rsidP="001819E1">
      <w:pPr>
        <w:spacing w:after="0"/>
        <w:rPr>
          <w:rFonts w:cstheme="minorHAnsi"/>
          <w:u w:val="single"/>
        </w:rPr>
      </w:pPr>
      <w:r>
        <w:rPr>
          <w:rFonts w:cstheme="minorHAnsi"/>
          <w:u w:val="single"/>
        </w:rPr>
        <w:t>Nirmatrelvir</w:t>
      </w:r>
      <w:r w:rsidR="001819E1" w:rsidRPr="00907525">
        <w:rPr>
          <w:rFonts w:cstheme="minorHAnsi"/>
          <w:u w:val="single"/>
        </w:rPr>
        <w:t xml:space="preserve"> plus ritonavir</w:t>
      </w:r>
    </w:p>
    <w:p w14:paraId="5D012507" w14:textId="2F4EDBBC" w:rsidR="001819E1" w:rsidRDefault="001819E1" w:rsidP="001819E1">
      <w:pPr>
        <w:spacing w:after="0"/>
        <w:rPr>
          <w:rFonts w:cstheme="minorHAnsi"/>
        </w:rPr>
      </w:pPr>
      <w:r w:rsidRPr="0034139F">
        <w:rPr>
          <w:rFonts w:cstheme="minorHAnsi"/>
        </w:rPr>
        <w:t>The recommended dos</w:t>
      </w:r>
      <w:r>
        <w:rPr>
          <w:rFonts w:cstheme="minorHAnsi"/>
        </w:rPr>
        <w:t xml:space="preserve">e </w:t>
      </w:r>
      <w:proofErr w:type="gramStart"/>
      <w:r>
        <w:rPr>
          <w:rFonts w:cstheme="minorHAnsi"/>
        </w:rPr>
        <w:t xml:space="preserve">of </w:t>
      </w:r>
      <w:r w:rsidR="00C4640E">
        <w:rPr>
          <w:rFonts w:cstheme="minorHAnsi"/>
        </w:rPr>
        <w:t xml:space="preserve"> Nirmatrelvir</w:t>
      </w:r>
      <w:proofErr w:type="gramEnd"/>
      <w:r>
        <w:rPr>
          <w:rFonts w:cstheme="minorHAnsi"/>
        </w:rPr>
        <w:t xml:space="preserve"> </w:t>
      </w:r>
      <w:r w:rsidRPr="0034139F">
        <w:rPr>
          <w:rFonts w:cstheme="minorHAnsi"/>
        </w:rPr>
        <w:t>plus ritonavir is 300mg (two</w:t>
      </w:r>
      <w:r>
        <w:rPr>
          <w:rFonts w:cstheme="minorHAnsi"/>
        </w:rPr>
        <w:t xml:space="preserve"> 150mg tablets) </w:t>
      </w:r>
      <w:r w:rsidR="00C4640E">
        <w:rPr>
          <w:rFonts w:cstheme="minorHAnsi"/>
        </w:rPr>
        <w:t xml:space="preserve"> Nirmatrelvir</w:t>
      </w:r>
      <w:r>
        <w:rPr>
          <w:rFonts w:cstheme="minorHAnsi"/>
        </w:rPr>
        <w:t xml:space="preserve"> </w:t>
      </w:r>
      <w:r w:rsidRPr="0034139F">
        <w:rPr>
          <w:rFonts w:cstheme="minorHAnsi"/>
        </w:rPr>
        <w:t>with 100mg (one 100mg tablet) ritonavir taken together orally twice daily for 5 d</w:t>
      </w:r>
      <w:r>
        <w:rPr>
          <w:rFonts w:cstheme="minorHAnsi"/>
        </w:rPr>
        <w:t xml:space="preserve">ays. </w:t>
      </w:r>
    </w:p>
    <w:p w14:paraId="7F509788" w14:textId="40AC4384" w:rsidR="0009568D" w:rsidRDefault="0009568D" w:rsidP="001819E1">
      <w:pPr>
        <w:spacing w:after="0"/>
        <w:rPr>
          <w:rFonts w:cstheme="minorHAnsi"/>
        </w:rPr>
      </w:pPr>
    </w:p>
    <w:p w14:paraId="2BA6E4DD" w14:textId="50178E83" w:rsidR="0009568D" w:rsidRDefault="0009568D" w:rsidP="001819E1">
      <w:pPr>
        <w:spacing w:after="0"/>
        <w:rPr>
          <w:rFonts w:cstheme="minorHAnsi"/>
        </w:rPr>
      </w:pPr>
      <w:r>
        <w:rPr>
          <w:rFonts w:cstheme="minorHAnsi"/>
        </w:rPr>
        <w:t>This is illustrated pictorially as:</w:t>
      </w:r>
    </w:p>
    <w:p w14:paraId="071EB902" w14:textId="77777777" w:rsidR="0009568D" w:rsidRDefault="0009568D" w:rsidP="001819E1">
      <w:pPr>
        <w:spacing w:after="0"/>
        <w:rPr>
          <w:rFonts w:cstheme="minorHAnsi"/>
        </w:rPr>
      </w:pPr>
    </w:p>
    <w:p w14:paraId="15A6A4D4" w14:textId="7BB2BB0C" w:rsidR="00971860" w:rsidRDefault="0009568D" w:rsidP="001819E1">
      <w:pPr>
        <w:spacing w:after="0"/>
        <w:rPr>
          <w:rFonts w:cstheme="minorHAnsi"/>
        </w:rPr>
      </w:pPr>
      <w:r w:rsidRPr="0009568D">
        <w:rPr>
          <w:rFonts w:cstheme="minorHAnsi"/>
          <w:noProof/>
        </w:rPr>
        <w:drawing>
          <wp:inline distT="0" distB="0" distL="0" distR="0" wp14:anchorId="12BEB545" wp14:editId="3B47EB8C">
            <wp:extent cx="3644900" cy="2340958"/>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3649038" cy="2343615"/>
                    </a:xfrm>
                    <a:prstGeom prst="rect">
                      <a:avLst/>
                    </a:prstGeom>
                  </pic:spPr>
                </pic:pic>
              </a:graphicData>
            </a:graphic>
          </wp:inline>
        </w:drawing>
      </w:r>
    </w:p>
    <w:p w14:paraId="1ACAE8E6" w14:textId="77777777" w:rsidR="0009568D" w:rsidRDefault="0009568D" w:rsidP="001819E1">
      <w:pPr>
        <w:spacing w:after="0"/>
        <w:rPr>
          <w:rFonts w:cstheme="minorHAnsi"/>
        </w:rPr>
      </w:pPr>
    </w:p>
    <w:p w14:paraId="779788B8" w14:textId="185E9BEC" w:rsidR="00971860" w:rsidRPr="003C0097" w:rsidRDefault="0009568D" w:rsidP="001819E1">
      <w:pPr>
        <w:spacing w:after="0"/>
        <w:rPr>
          <w:rFonts w:cstheme="minorHAnsi"/>
          <w:u w:val="single"/>
        </w:rPr>
      </w:pPr>
      <w:r w:rsidRPr="003C0097">
        <w:rPr>
          <w:rFonts w:cstheme="minorHAnsi"/>
          <w:u w:val="single"/>
        </w:rPr>
        <w:t>Nirmatrelvir plus ritonavir Renal Dose (eGFR/</w:t>
      </w:r>
      <w:proofErr w:type="spellStart"/>
      <w:r w:rsidRPr="003C0097">
        <w:rPr>
          <w:rFonts w:cstheme="minorHAnsi"/>
          <w:u w:val="single"/>
        </w:rPr>
        <w:t>CrCl</w:t>
      </w:r>
      <w:proofErr w:type="spellEnd"/>
      <w:r w:rsidRPr="003C0097">
        <w:rPr>
          <w:rFonts w:cstheme="minorHAnsi"/>
          <w:u w:val="single"/>
        </w:rPr>
        <w:t>: 30-60ml/min or CKD Stage 3</w:t>
      </w:r>
      <w:r w:rsidR="00BC270E" w:rsidRPr="003C0097">
        <w:rPr>
          <w:rFonts w:cstheme="minorHAnsi"/>
          <w:u w:val="single"/>
        </w:rPr>
        <w:t>)</w:t>
      </w:r>
    </w:p>
    <w:p w14:paraId="7526B81C" w14:textId="77777777" w:rsidR="00BC270E" w:rsidRPr="003C0097" w:rsidRDefault="0009568D" w:rsidP="001819E1">
      <w:pPr>
        <w:spacing w:after="0"/>
        <w:rPr>
          <w:rFonts w:cstheme="minorHAnsi"/>
        </w:rPr>
      </w:pPr>
      <w:r w:rsidRPr="003C0097">
        <w:rPr>
          <w:rFonts w:cstheme="minorHAnsi"/>
        </w:rPr>
        <w:t>The recommended dose of Nirmatrelvir plus ritonavir is 150mg (one 150mg tablet) Nirmatrelvir with 100mg (one 100mg tablet) ritonavir taken together orally twice daily for 5 days.</w:t>
      </w:r>
    </w:p>
    <w:p w14:paraId="56BA19FC" w14:textId="77777777" w:rsidR="00BC270E" w:rsidRPr="003C0097" w:rsidRDefault="00BC270E" w:rsidP="001819E1">
      <w:pPr>
        <w:spacing w:after="0"/>
        <w:rPr>
          <w:rFonts w:cstheme="minorHAnsi"/>
        </w:rPr>
      </w:pPr>
    </w:p>
    <w:p w14:paraId="2328B419" w14:textId="4175D8C0" w:rsidR="00BC270E" w:rsidRDefault="00BC270E" w:rsidP="001819E1">
      <w:pPr>
        <w:spacing w:after="0"/>
        <w:rPr>
          <w:rFonts w:cstheme="minorHAnsi"/>
        </w:rPr>
      </w:pPr>
      <w:r w:rsidRPr="003C0097">
        <w:rPr>
          <w:rFonts w:cstheme="minorHAnsi"/>
        </w:rPr>
        <w:t>This is illustrated pictorially as:</w:t>
      </w:r>
    </w:p>
    <w:p w14:paraId="61090C33" w14:textId="3325E130" w:rsidR="00BC270E" w:rsidRDefault="00BC270E" w:rsidP="001819E1">
      <w:pPr>
        <w:spacing w:after="0"/>
        <w:rPr>
          <w:rFonts w:cstheme="minorHAnsi"/>
        </w:rPr>
      </w:pPr>
    </w:p>
    <w:p w14:paraId="4F3CAE0D" w14:textId="1F4E55C2" w:rsidR="00BC270E" w:rsidRDefault="00BC270E" w:rsidP="001819E1">
      <w:pPr>
        <w:spacing w:after="0"/>
        <w:rPr>
          <w:rFonts w:cstheme="minorHAnsi"/>
        </w:rPr>
      </w:pPr>
      <w:r w:rsidRPr="00BC270E">
        <w:rPr>
          <w:rFonts w:cstheme="minorHAnsi"/>
          <w:noProof/>
        </w:rPr>
        <w:drawing>
          <wp:inline distT="0" distB="0" distL="0" distR="0" wp14:anchorId="1B3CC16F" wp14:editId="1D9FD943">
            <wp:extent cx="3841750" cy="2423546"/>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stretch>
                      <a:fillRect/>
                    </a:stretch>
                  </pic:blipFill>
                  <pic:spPr>
                    <a:xfrm>
                      <a:off x="0" y="0"/>
                      <a:ext cx="3852942" cy="2430606"/>
                    </a:xfrm>
                    <a:prstGeom prst="rect">
                      <a:avLst/>
                    </a:prstGeom>
                  </pic:spPr>
                </pic:pic>
              </a:graphicData>
            </a:graphic>
          </wp:inline>
        </w:drawing>
      </w:r>
    </w:p>
    <w:p w14:paraId="62926B5A" w14:textId="3C83B0F6" w:rsidR="0009568D" w:rsidRPr="0009568D" w:rsidRDefault="0009568D" w:rsidP="001819E1">
      <w:pPr>
        <w:spacing w:after="0"/>
        <w:rPr>
          <w:rFonts w:cstheme="minorHAnsi"/>
        </w:rPr>
      </w:pPr>
      <w:r>
        <w:rPr>
          <w:rFonts w:cstheme="minorHAnsi"/>
        </w:rPr>
        <w:t xml:space="preserve"> </w:t>
      </w:r>
    </w:p>
    <w:p w14:paraId="0FF66E3D" w14:textId="77777777" w:rsidR="001819E1" w:rsidRDefault="001819E1" w:rsidP="001819E1">
      <w:pPr>
        <w:spacing w:after="0"/>
        <w:rPr>
          <w:rFonts w:cstheme="minorHAnsi"/>
        </w:rPr>
      </w:pPr>
    </w:p>
    <w:p w14:paraId="7BEFD4D3" w14:textId="2763D7B4" w:rsidR="001819E1" w:rsidRDefault="00C4640E" w:rsidP="001819E1">
      <w:pPr>
        <w:spacing w:after="0"/>
        <w:rPr>
          <w:rFonts w:cstheme="minorHAnsi"/>
        </w:rPr>
      </w:pPr>
      <w:r>
        <w:rPr>
          <w:rFonts w:cstheme="minorHAnsi"/>
        </w:rPr>
        <w:t>Nirmatrelvir</w:t>
      </w:r>
      <w:r w:rsidR="001819E1">
        <w:rPr>
          <w:rFonts w:cstheme="minorHAnsi"/>
        </w:rPr>
        <w:t xml:space="preserve"> </w:t>
      </w:r>
      <w:r w:rsidR="001819E1" w:rsidRPr="0034139F">
        <w:rPr>
          <w:rFonts w:cstheme="minorHAnsi"/>
        </w:rPr>
        <w:t>plus ritonavir should be given as soon as possible after positive results of direct SARS-</w:t>
      </w:r>
      <w:r w:rsidR="001819E1">
        <w:rPr>
          <w:rFonts w:cstheme="minorHAnsi"/>
        </w:rPr>
        <w:t>CoV-2 viral testing and within 7 days of onset of symptoms</w:t>
      </w:r>
      <w:r w:rsidR="001819E1" w:rsidRPr="0034139F">
        <w:rPr>
          <w:rFonts w:cstheme="minorHAnsi"/>
        </w:rPr>
        <w:t>. Clinicians should assure themselves that patients are able to swallow the oral tablets.</w:t>
      </w:r>
    </w:p>
    <w:p w14:paraId="3AC4AB79" w14:textId="77777777" w:rsidR="001819E1" w:rsidRPr="0034139F" w:rsidRDefault="001819E1" w:rsidP="001819E1">
      <w:pPr>
        <w:spacing w:after="0"/>
        <w:rPr>
          <w:rFonts w:cstheme="minorHAnsi"/>
        </w:rPr>
      </w:pPr>
    </w:p>
    <w:p w14:paraId="25F30E82" w14:textId="77777777" w:rsidR="001819E1" w:rsidRDefault="001819E1" w:rsidP="001819E1">
      <w:pPr>
        <w:spacing w:after="0"/>
        <w:rPr>
          <w:rFonts w:cstheme="minorHAnsi"/>
        </w:rPr>
      </w:pPr>
      <w:r w:rsidRPr="0034139F">
        <w:rPr>
          <w:rFonts w:cstheme="minorHAnsi"/>
        </w:rPr>
        <w:t xml:space="preserve">A missed dose should be taken as soon as possible and within 8 hours of the scheduled time, and the normal dosing schedule should be resumed. If more than 8 hours has elapsed, the missed dose should not be </w:t>
      </w:r>
      <w:proofErr w:type="gramStart"/>
      <w:r w:rsidRPr="0034139F">
        <w:rPr>
          <w:rFonts w:cstheme="minorHAnsi"/>
        </w:rPr>
        <w:t>taken</w:t>
      </w:r>
      <w:proofErr w:type="gramEnd"/>
      <w:r w:rsidRPr="0034139F">
        <w:rPr>
          <w:rFonts w:cstheme="minorHAnsi"/>
        </w:rPr>
        <w:t xml:space="preserve"> and the treatment should resume according to the normal dosing schedule.</w:t>
      </w:r>
    </w:p>
    <w:p w14:paraId="78806AFD" w14:textId="77777777" w:rsidR="001819E1" w:rsidRPr="0034139F" w:rsidRDefault="001819E1" w:rsidP="001819E1">
      <w:pPr>
        <w:spacing w:after="0"/>
        <w:rPr>
          <w:rFonts w:cstheme="minorHAnsi"/>
        </w:rPr>
      </w:pPr>
    </w:p>
    <w:p w14:paraId="48E98B2E" w14:textId="12A72EE5" w:rsidR="00E540F9" w:rsidRDefault="001819E1" w:rsidP="008A2154">
      <w:pPr>
        <w:spacing w:after="0"/>
        <w:rPr>
          <w:rFonts w:cstheme="minorHAnsi"/>
        </w:rPr>
      </w:pPr>
      <w:r w:rsidRPr="0034139F">
        <w:rPr>
          <w:rFonts w:cstheme="minorHAnsi"/>
        </w:rPr>
        <w:t>If a patient requires hospitalisation due to severe or critical COVID-19 after start</w:t>
      </w:r>
      <w:r>
        <w:rPr>
          <w:rFonts w:cstheme="minorHAnsi"/>
        </w:rPr>
        <w:t xml:space="preserve">ing treatment </w:t>
      </w:r>
      <w:proofErr w:type="gramStart"/>
      <w:r>
        <w:rPr>
          <w:rFonts w:cstheme="minorHAnsi"/>
        </w:rPr>
        <w:t xml:space="preserve">with </w:t>
      </w:r>
      <w:r w:rsidR="00C4640E">
        <w:rPr>
          <w:rFonts w:cstheme="minorHAnsi"/>
        </w:rPr>
        <w:t xml:space="preserve"> Nirmatrelvir</w:t>
      </w:r>
      <w:proofErr w:type="gramEnd"/>
      <w:r>
        <w:rPr>
          <w:rFonts w:cstheme="minorHAnsi"/>
        </w:rPr>
        <w:t xml:space="preserve"> </w:t>
      </w:r>
      <w:r w:rsidRPr="0034139F">
        <w:rPr>
          <w:rFonts w:cstheme="minorHAnsi"/>
        </w:rPr>
        <w:t>plus ritonavir, the patient should complete the full 5-day treatment course at the discretion of his/her healthcare provider.</w:t>
      </w:r>
    </w:p>
    <w:p w14:paraId="1EED62F2" w14:textId="0F0FBA2C" w:rsidR="001819E1" w:rsidRDefault="001819E1" w:rsidP="0034139F">
      <w:pPr>
        <w:spacing w:after="0"/>
        <w:rPr>
          <w:rFonts w:cstheme="minorHAnsi"/>
          <w:u w:val="single"/>
        </w:rPr>
      </w:pPr>
    </w:p>
    <w:p w14:paraId="3148DD73" w14:textId="77777777" w:rsidR="00352AF6" w:rsidRDefault="00352AF6" w:rsidP="0034139F">
      <w:pPr>
        <w:spacing w:after="0"/>
        <w:rPr>
          <w:rFonts w:cstheme="minorHAnsi"/>
          <w:u w:val="single"/>
        </w:rPr>
      </w:pPr>
    </w:p>
    <w:p w14:paraId="2E8A44BE" w14:textId="598DD59D" w:rsidR="001819E1" w:rsidRPr="001819E1" w:rsidRDefault="001819E1" w:rsidP="0034139F">
      <w:pPr>
        <w:spacing w:after="0"/>
        <w:rPr>
          <w:rFonts w:cstheme="minorHAnsi"/>
          <w:u w:val="single"/>
        </w:rPr>
      </w:pPr>
      <w:r w:rsidRPr="001819E1">
        <w:rPr>
          <w:rFonts w:cstheme="minorHAnsi"/>
          <w:u w:val="single"/>
        </w:rPr>
        <w:t>Sotrovimab</w:t>
      </w:r>
    </w:p>
    <w:p w14:paraId="7F9F7DAD" w14:textId="3A566306" w:rsidR="001819E1" w:rsidRDefault="001819E1" w:rsidP="001819E1">
      <w:pPr>
        <w:spacing w:after="0"/>
        <w:rPr>
          <w:rFonts w:cstheme="minorHAnsi"/>
        </w:rPr>
      </w:pPr>
      <w:r w:rsidRPr="002748B4">
        <w:rPr>
          <w:rFonts w:cstheme="minorHAnsi"/>
        </w:rPr>
        <w:t xml:space="preserve">The recommended dose of </w:t>
      </w:r>
      <w:r w:rsidR="00225580">
        <w:rPr>
          <w:rFonts w:cstheme="minorHAnsi"/>
        </w:rPr>
        <w:t>S</w:t>
      </w:r>
      <w:r w:rsidRPr="002748B4">
        <w:rPr>
          <w:rFonts w:cstheme="minorHAnsi"/>
        </w:rPr>
        <w:t>otrovimab is 500mg to be administered as a single intravenous infusion</w:t>
      </w:r>
      <w:r>
        <w:rPr>
          <w:rFonts w:cstheme="minorHAnsi"/>
        </w:rPr>
        <w:t xml:space="preserve">. </w:t>
      </w:r>
      <w:r w:rsidRPr="002748B4">
        <w:rPr>
          <w:rFonts w:cstheme="minorHAnsi"/>
        </w:rPr>
        <w:t xml:space="preserve"> 8mls of </w:t>
      </w:r>
      <w:r w:rsidR="00225580">
        <w:rPr>
          <w:rFonts w:cstheme="minorHAnsi"/>
        </w:rPr>
        <w:t>S</w:t>
      </w:r>
      <w:r w:rsidRPr="002748B4">
        <w:rPr>
          <w:rFonts w:cstheme="minorHAnsi"/>
        </w:rPr>
        <w:t>otrovimab (62.5mg/ml) should be added to a 100ml pre-filled infusion bag containing 0.9% sodium chloride a</w:t>
      </w:r>
      <w:r>
        <w:rPr>
          <w:rFonts w:cstheme="minorHAnsi"/>
        </w:rPr>
        <w:t>nd administered over 30 minutes.</w:t>
      </w:r>
    </w:p>
    <w:p w14:paraId="13F99849" w14:textId="77777777" w:rsidR="001819E1" w:rsidRPr="002748B4" w:rsidRDefault="001819E1" w:rsidP="001819E1">
      <w:pPr>
        <w:spacing w:after="0"/>
        <w:rPr>
          <w:rFonts w:cstheme="minorHAnsi"/>
        </w:rPr>
      </w:pPr>
    </w:p>
    <w:p w14:paraId="24A541AC" w14:textId="6CFB1B07" w:rsidR="001819E1" w:rsidRPr="002748B4" w:rsidRDefault="001819E1" w:rsidP="001819E1">
      <w:pPr>
        <w:spacing w:after="0"/>
        <w:rPr>
          <w:rFonts w:cstheme="minorHAnsi"/>
        </w:rPr>
      </w:pPr>
      <w:r w:rsidRPr="002748B4">
        <w:rPr>
          <w:rFonts w:cstheme="minorHAnsi"/>
        </w:rPr>
        <w:t xml:space="preserve">Preparation and administration of </w:t>
      </w:r>
      <w:r w:rsidR="00225580">
        <w:rPr>
          <w:rFonts w:cstheme="minorHAnsi"/>
        </w:rPr>
        <w:t>S</w:t>
      </w:r>
      <w:r w:rsidRPr="002748B4">
        <w:rPr>
          <w:rFonts w:cstheme="minorHAnsi"/>
        </w:rPr>
        <w:t>otrovimab should be initiated and monitored by a qualified healthcare provider using aseptic technique. Administration should be under conditions where management of severe hypersensitivity reactions, such as anaphylaxis, is possible. Individuals should be monitor</w:t>
      </w:r>
      <w:r>
        <w:rPr>
          <w:rFonts w:cstheme="minorHAnsi"/>
        </w:rPr>
        <w:t>ed post intravenous infusion for 1 hour.</w:t>
      </w:r>
    </w:p>
    <w:p w14:paraId="72D525A5" w14:textId="77777777" w:rsidR="001819E1" w:rsidRDefault="001819E1" w:rsidP="001819E1">
      <w:pPr>
        <w:spacing w:after="0"/>
        <w:rPr>
          <w:rFonts w:cstheme="minorHAnsi"/>
        </w:rPr>
      </w:pPr>
      <w:r w:rsidRPr="002748B4">
        <w:rPr>
          <w:rFonts w:cstheme="minorHAnsi"/>
        </w:rPr>
        <w:t>Sotrovimab should not be infused concomitantly in the same intravenous line with other medication.</w:t>
      </w:r>
    </w:p>
    <w:p w14:paraId="3CFE4EBE" w14:textId="4C8A9E60" w:rsidR="00907525" w:rsidRDefault="00907525" w:rsidP="0034139F">
      <w:pPr>
        <w:spacing w:after="0"/>
        <w:rPr>
          <w:rFonts w:cstheme="minorHAnsi"/>
          <w:b/>
        </w:rPr>
      </w:pPr>
    </w:p>
    <w:p w14:paraId="77258A27" w14:textId="694220EA" w:rsidR="00EC3FED" w:rsidRDefault="00EC3FED" w:rsidP="00EC3FED">
      <w:pPr>
        <w:spacing w:after="0" w:line="240" w:lineRule="auto"/>
        <w:contextualSpacing/>
        <w:rPr>
          <w:rFonts w:eastAsia="Times New Roman" w:cstheme="minorHAnsi"/>
          <w:bCs/>
          <w:lang w:eastAsia="en-GB"/>
        </w:rPr>
      </w:pPr>
      <w:r w:rsidRPr="00782398">
        <w:rPr>
          <w:rFonts w:eastAsia="Times New Roman" w:cstheme="minorHAnsi"/>
          <w:bCs/>
          <w:lang w:eastAsia="en-GB"/>
        </w:rPr>
        <w:t xml:space="preserve">Monitoring during administration of </w:t>
      </w:r>
      <w:r>
        <w:rPr>
          <w:rFonts w:eastAsia="Times New Roman" w:cstheme="minorHAnsi"/>
          <w:bCs/>
          <w:lang w:eastAsia="en-GB"/>
        </w:rPr>
        <w:t>S</w:t>
      </w:r>
      <w:r w:rsidRPr="00782398">
        <w:rPr>
          <w:rFonts w:eastAsia="Times New Roman" w:cstheme="minorHAnsi"/>
          <w:bCs/>
          <w:lang w:eastAsia="en-GB"/>
        </w:rPr>
        <w:t>otrovimab</w:t>
      </w:r>
      <w:r>
        <w:rPr>
          <w:rFonts w:eastAsia="Times New Roman" w:cstheme="minorHAnsi"/>
          <w:bCs/>
          <w:lang w:eastAsia="en-GB"/>
        </w:rPr>
        <w:t>:</w:t>
      </w:r>
    </w:p>
    <w:p w14:paraId="5FDC4400" w14:textId="77777777" w:rsidR="00EC3FED" w:rsidRPr="00782398" w:rsidRDefault="00EC3FED" w:rsidP="00EC3FED">
      <w:pPr>
        <w:spacing w:after="0" w:line="240" w:lineRule="auto"/>
        <w:contextualSpacing/>
        <w:rPr>
          <w:rFonts w:eastAsia="Times New Roman" w:cstheme="minorHAnsi"/>
          <w:bCs/>
          <w:lang w:eastAsia="en-GB"/>
        </w:rPr>
      </w:pPr>
    </w:p>
    <w:p w14:paraId="7631E9BC" w14:textId="7FCB1960" w:rsidR="00EC3FED" w:rsidRPr="00782398" w:rsidRDefault="00EC3FED" w:rsidP="00EC3FED">
      <w:pPr>
        <w:spacing w:after="0" w:line="240" w:lineRule="auto"/>
        <w:contextualSpacing/>
        <w:rPr>
          <w:rFonts w:cstheme="minorHAnsi"/>
        </w:rPr>
      </w:pPr>
      <w:r w:rsidRPr="00782398">
        <w:rPr>
          <w:rFonts w:cstheme="minorHAnsi"/>
        </w:rPr>
        <w:t xml:space="preserve">Serious hypersensitivity reactions including anaphylaxis have been reported with infusion of </w:t>
      </w:r>
      <w:r>
        <w:rPr>
          <w:rFonts w:cstheme="minorHAnsi"/>
        </w:rPr>
        <w:t>S</w:t>
      </w:r>
      <w:r w:rsidRPr="00782398">
        <w:rPr>
          <w:rFonts w:cstheme="minorHAnsi"/>
        </w:rPr>
        <w:t xml:space="preserve">otrovimab. The patient should be monitored closely during infusion and for </w:t>
      </w:r>
      <w:proofErr w:type="spellStart"/>
      <w:r w:rsidRPr="00AD2E51">
        <w:rPr>
          <w:rFonts w:cstheme="minorHAnsi"/>
        </w:rPr>
        <w:t>upto</w:t>
      </w:r>
      <w:proofErr w:type="spellEnd"/>
      <w:r w:rsidRPr="00AD2E51">
        <w:rPr>
          <w:rFonts w:cstheme="minorHAnsi"/>
        </w:rPr>
        <w:t xml:space="preserve"> </w:t>
      </w:r>
      <w:r w:rsidR="00AD2E51" w:rsidRPr="00AD2E51">
        <w:rPr>
          <w:rFonts w:cstheme="minorHAnsi"/>
        </w:rPr>
        <w:t>15</w:t>
      </w:r>
      <w:r w:rsidRPr="00AD2E51">
        <w:rPr>
          <w:rFonts w:cstheme="minorHAnsi"/>
        </w:rPr>
        <w:t xml:space="preserve"> min</w:t>
      </w:r>
      <w:r w:rsidRPr="00782398">
        <w:rPr>
          <w:rFonts w:cstheme="minorHAnsi"/>
        </w:rPr>
        <w:t xml:space="preserve"> after the infusion for signs and symptoms of hypersensitivity, including anaphylaxis. If signs or symptoms of a clinically significant hypersensitivity reaction or anaphylaxis occur, immediately discontinue </w:t>
      </w:r>
      <w:proofErr w:type="gramStart"/>
      <w:r w:rsidRPr="00782398">
        <w:rPr>
          <w:rFonts w:cstheme="minorHAnsi"/>
        </w:rPr>
        <w:t>administration</w:t>
      </w:r>
      <w:proofErr w:type="gramEnd"/>
      <w:r w:rsidRPr="00782398">
        <w:rPr>
          <w:rFonts w:cstheme="minorHAnsi"/>
        </w:rPr>
        <w:t xml:space="preserve"> and initiate appropriate medications and/or supportive care.</w:t>
      </w:r>
    </w:p>
    <w:p w14:paraId="73E0BCF7" w14:textId="77777777" w:rsidR="00EC3FED" w:rsidRPr="00782398" w:rsidRDefault="00EC3FED" w:rsidP="00EC3FED">
      <w:pPr>
        <w:spacing w:before="120" w:after="0" w:line="240" w:lineRule="auto"/>
        <w:contextualSpacing/>
        <w:rPr>
          <w:rFonts w:cstheme="minorHAnsi"/>
        </w:rPr>
      </w:pPr>
    </w:p>
    <w:p w14:paraId="0FBE50AF" w14:textId="77777777" w:rsidR="00EC3FED" w:rsidRDefault="00EC3FED" w:rsidP="00EC3FED">
      <w:pPr>
        <w:spacing w:before="120" w:after="0" w:line="240" w:lineRule="auto"/>
        <w:contextualSpacing/>
        <w:rPr>
          <w:rFonts w:cstheme="minorHAnsi"/>
        </w:rPr>
      </w:pPr>
      <w:r w:rsidRPr="00782398">
        <w:rPr>
          <w:rFonts w:cstheme="minorHAnsi"/>
        </w:rPr>
        <w:t xml:space="preserve">If an IRR (Infusion-related reaction) occurs, consider interrupting, </w:t>
      </w:r>
      <w:proofErr w:type="gramStart"/>
      <w:r w:rsidRPr="00782398">
        <w:rPr>
          <w:rFonts w:cstheme="minorHAnsi"/>
        </w:rPr>
        <w:t>slowing</w:t>
      </w:r>
      <w:proofErr w:type="gramEnd"/>
      <w:r w:rsidRPr="00782398">
        <w:rPr>
          <w:rFonts w:cstheme="minorHAnsi"/>
        </w:rPr>
        <w:t xml:space="preserve"> or stopping the infusion (if severe) and administer appropriate medications and/or supportive care. IRRs observed with IV administration of casirivimab and imdevimab include nausea, chills, dizziness (or syncope), rash, urticaria and flushing. IRRs observed in clinical studies were mostly mild to moderate in severity and were typically observed during or within 24 hours of infusion.</w:t>
      </w:r>
    </w:p>
    <w:p w14:paraId="4A6F5D83" w14:textId="77777777" w:rsidR="00352AF6" w:rsidRDefault="00352AF6" w:rsidP="00EC3FED">
      <w:pPr>
        <w:spacing w:before="120" w:after="0" w:line="240" w:lineRule="auto"/>
        <w:contextualSpacing/>
        <w:rPr>
          <w:rFonts w:cstheme="minorHAnsi"/>
        </w:rPr>
      </w:pPr>
    </w:p>
    <w:p w14:paraId="55F14E5D" w14:textId="77777777" w:rsidR="00352AF6" w:rsidRDefault="00352AF6" w:rsidP="00EC3FED">
      <w:pPr>
        <w:spacing w:before="120" w:after="0" w:line="240" w:lineRule="auto"/>
        <w:contextualSpacing/>
        <w:rPr>
          <w:rFonts w:cstheme="minorHAnsi"/>
        </w:rPr>
      </w:pPr>
    </w:p>
    <w:p w14:paraId="0D769524" w14:textId="77777777" w:rsidR="00352AF6" w:rsidRPr="001819E1" w:rsidRDefault="00352AF6" w:rsidP="00352AF6">
      <w:pPr>
        <w:spacing w:after="0"/>
        <w:rPr>
          <w:rFonts w:cstheme="minorHAnsi"/>
          <w:u w:val="single"/>
        </w:rPr>
      </w:pPr>
      <w:proofErr w:type="spellStart"/>
      <w:r w:rsidRPr="001819E1">
        <w:rPr>
          <w:rFonts w:cstheme="minorHAnsi"/>
          <w:u w:val="single"/>
        </w:rPr>
        <w:t>Molnupiravir</w:t>
      </w:r>
      <w:proofErr w:type="spellEnd"/>
    </w:p>
    <w:p w14:paraId="19443C54" w14:textId="77777777" w:rsidR="00352AF6" w:rsidRDefault="00352AF6" w:rsidP="00352AF6">
      <w:pPr>
        <w:spacing w:after="0"/>
        <w:rPr>
          <w:rFonts w:cstheme="minorHAnsi"/>
        </w:rPr>
      </w:pPr>
      <w:r>
        <w:rPr>
          <w:rFonts w:cstheme="minorHAnsi"/>
        </w:rPr>
        <w:t xml:space="preserve">The recommended dose of </w:t>
      </w:r>
      <w:proofErr w:type="spellStart"/>
      <w:r>
        <w:rPr>
          <w:rFonts w:cstheme="minorHAnsi"/>
        </w:rPr>
        <w:t>M</w:t>
      </w:r>
      <w:r w:rsidRPr="00BF041B">
        <w:rPr>
          <w:rFonts w:cstheme="minorHAnsi"/>
        </w:rPr>
        <w:t>olnupiravir</w:t>
      </w:r>
      <w:proofErr w:type="spellEnd"/>
      <w:r w:rsidRPr="00BF041B">
        <w:rPr>
          <w:rFonts w:cstheme="minorHAnsi"/>
        </w:rPr>
        <w:t xml:space="preserve"> is 800mg (four 200mg capsules) taken orally every 12 hours for 5 days. Treatment must not be extended beyond 5 days. </w:t>
      </w:r>
      <w:proofErr w:type="spellStart"/>
      <w:r w:rsidRPr="00BF041B">
        <w:rPr>
          <w:rFonts w:cstheme="minorHAnsi"/>
        </w:rPr>
        <w:t>Molnupiravir</w:t>
      </w:r>
      <w:proofErr w:type="spellEnd"/>
      <w:r w:rsidRPr="00BF041B">
        <w:rPr>
          <w:rFonts w:cstheme="minorHAnsi"/>
        </w:rPr>
        <w:t xml:space="preserve"> should be commenced as soon as possible after a diagnosis of COV</w:t>
      </w:r>
      <w:r>
        <w:rPr>
          <w:rFonts w:cstheme="minorHAnsi"/>
        </w:rPr>
        <w:t>ID-19 has been made and within 7</w:t>
      </w:r>
      <w:r w:rsidRPr="00BF041B">
        <w:rPr>
          <w:rFonts w:cstheme="minorHAnsi"/>
        </w:rPr>
        <w:t xml:space="preserve"> days of symptom onset. </w:t>
      </w:r>
      <w:r w:rsidRPr="009173DB">
        <w:rPr>
          <w:rFonts w:cstheme="minorHAnsi"/>
        </w:rPr>
        <w:t>Clinicians should assure themselves that patients are able to swallow the oral capsules.</w:t>
      </w:r>
    </w:p>
    <w:p w14:paraId="69CB2978" w14:textId="77777777" w:rsidR="00352AF6" w:rsidRDefault="00352AF6" w:rsidP="00352AF6">
      <w:pPr>
        <w:spacing w:after="0"/>
        <w:rPr>
          <w:sz w:val="23"/>
          <w:szCs w:val="23"/>
        </w:rPr>
      </w:pPr>
    </w:p>
    <w:p w14:paraId="3202E152" w14:textId="77777777" w:rsidR="00352AF6" w:rsidRDefault="00352AF6" w:rsidP="00352AF6">
      <w:pPr>
        <w:spacing w:after="0"/>
        <w:rPr>
          <w:rFonts w:cstheme="minorHAnsi"/>
        </w:rPr>
      </w:pPr>
      <w:r>
        <w:rPr>
          <w:sz w:val="23"/>
          <w:szCs w:val="23"/>
        </w:rPr>
        <w:t>If a patient missed a dose within 10 hours of the time it is usually taken, they should take as soon as possible and resume the normal dosing schedule. If a patient misses a dose by more than 10 hours, the patient should not take the missed dose and instead take the next dose at the regularly scheduled time. The patient should not double the dose to make up for a missed dose.</w:t>
      </w:r>
    </w:p>
    <w:p w14:paraId="338AE2E1" w14:textId="77777777" w:rsidR="00352AF6" w:rsidRDefault="00352AF6" w:rsidP="00352AF6">
      <w:pPr>
        <w:spacing w:after="0"/>
        <w:rPr>
          <w:rFonts w:cstheme="minorHAnsi"/>
        </w:rPr>
      </w:pPr>
    </w:p>
    <w:p w14:paraId="722E8E47" w14:textId="77777777" w:rsidR="00352AF6" w:rsidRDefault="00352AF6" w:rsidP="00352AF6">
      <w:pPr>
        <w:spacing w:after="0"/>
        <w:rPr>
          <w:rFonts w:cstheme="minorHAnsi"/>
        </w:rPr>
      </w:pPr>
      <w:r w:rsidRPr="00BF041B">
        <w:rPr>
          <w:rFonts w:cstheme="minorHAnsi"/>
        </w:rPr>
        <w:t>To reduce the possibility of emerging resistance, patients should be advised to complete the whole course of treatment even if their symptoms improve and/or they feel better.</w:t>
      </w:r>
      <w:r>
        <w:rPr>
          <w:rFonts w:cstheme="minorHAnsi"/>
        </w:rPr>
        <w:t xml:space="preserve"> </w:t>
      </w:r>
      <w:r w:rsidRPr="00AD2E51">
        <w:rPr>
          <w:rFonts w:cstheme="minorHAnsi"/>
        </w:rPr>
        <w:t xml:space="preserve">If a patient requires hospitalisation due to severe or critical COVID-19 after starting treatment with </w:t>
      </w:r>
      <w:proofErr w:type="spellStart"/>
      <w:r>
        <w:rPr>
          <w:rFonts w:cstheme="minorHAnsi"/>
        </w:rPr>
        <w:t>M</w:t>
      </w:r>
      <w:r w:rsidRPr="00AD2E51">
        <w:rPr>
          <w:rFonts w:cstheme="minorHAnsi"/>
        </w:rPr>
        <w:t>olnupiravir</w:t>
      </w:r>
      <w:proofErr w:type="spellEnd"/>
      <w:r w:rsidRPr="00AD2E51">
        <w:rPr>
          <w:rFonts w:cstheme="minorHAnsi"/>
        </w:rPr>
        <w:t>, the patient should complete the full 5-day treatment course at the discretion of his/her healthcare provider.</w:t>
      </w:r>
    </w:p>
    <w:p w14:paraId="7CEAA5B5" w14:textId="77777777" w:rsidR="00EC3FED" w:rsidRDefault="00EC3FED" w:rsidP="0034139F">
      <w:pPr>
        <w:spacing w:after="0"/>
        <w:rPr>
          <w:rFonts w:cstheme="minorHAnsi"/>
          <w:b/>
        </w:rPr>
      </w:pPr>
    </w:p>
    <w:p w14:paraId="741526C2" w14:textId="77777777" w:rsidR="00E540F9" w:rsidRDefault="00E540F9" w:rsidP="00FD0077">
      <w:pPr>
        <w:autoSpaceDE w:val="0"/>
        <w:autoSpaceDN w:val="0"/>
        <w:adjustRightInd w:val="0"/>
        <w:spacing w:after="0" w:line="240" w:lineRule="auto"/>
        <w:rPr>
          <w:rFonts w:cstheme="minorHAnsi"/>
          <w:b/>
          <w:bCs/>
          <w:color w:val="000000"/>
        </w:rPr>
      </w:pPr>
    </w:p>
    <w:p w14:paraId="2D67919E" w14:textId="70AB3B77" w:rsidR="00FD0077" w:rsidRDefault="00FD0077" w:rsidP="00FD0077">
      <w:pPr>
        <w:autoSpaceDE w:val="0"/>
        <w:autoSpaceDN w:val="0"/>
        <w:adjustRightInd w:val="0"/>
        <w:spacing w:after="0" w:line="240" w:lineRule="auto"/>
        <w:rPr>
          <w:rFonts w:cstheme="minorHAnsi"/>
          <w:b/>
          <w:bCs/>
          <w:color w:val="000000"/>
        </w:rPr>
      </w:pPr>
      <w:r w:rsidRPr="00782398">
        <w:rPr>
          <w:rFonts w:cstheme="minorHAnsi"/>
          <w:b/>
          <w:bCs/>
          <w:color w:val="000000"/>
        </w:rPr>
        <w:t xml:space="preserve">Cautions </w:t>
      </w:r>
    </w:p>
    <w:p w14:paraId="031FADE3" w14:textId="1812A2F1" w:rsidR="00907525" w:rsidRDefault="00FD0077" w:rsidP="00FD0077">
      <w:pPr>
        <w:spacing w:after="0"/>
        <w:rPr>
          <w:rFonts w:cstheme="minorHAnsi"/>
          <w:color w:val="221F1F"/>
        </w:rPr>
      </w:pPr>
      <w:r w:rsidRPr="00782398">
        <w:rPr>
          <w:rFonts w:cstheme="minorHAnsi"/>
          <w:color w:val="221F1F"/>
        </w:rPr>
        <w:t xml:space="preserve">Please refer to the Summary of Product Characteristics (SmPC) for </w:t>
      </w:r>
      <w:r w:rsidRPr="00782398">
        <w:rPr>
          <w:rFonts w:cstheme="minorHAnsi"/>
          <w:color w:val="006FC0"/>
        </w:rPr>
        <w:t>nirmatrelvir/ritonavir</w:t>
      </w:r>
      <w:r w:rsidRPr="00782398">
        <w:rPr>
          <w:rFonts w:cstheme="minorHAnsi"/>
          <w:color w:val="221F1F"/>
        </w:rPr>
        <w:t xml:space="preserve">, </w:t>
      </w:r>
      <w:r w:rsidRPr="00782398">
        <w:rPr>
          <w:rFonts w:cstheme="minorHAnsi"/>
          <w:color w:val="006FC0"/>
        </w:rPr>
        <w:t xml:space="preserve">sotrovimab </w:t>
      </w:r>
      <w:r w:rsidRPr="00782398">
        <w:rPr>
          <w:rFonts w:cstheme="minorHAnsi"/>
          <w:color w:val="221F1F"/>
        </w:rPr>
        <w:t xml:space="preserve">and </w:t>
      </w:r>
      <w:proofErr w:type="spellStart"/>
      <w:r w:rsidRPr="00782398">
        <w:rPr>
          <w:rFonts w:cstheme="minorHAnsi"/>
          <w:color w:val="006FC0"/>
        </w:rPr>
        <w:t>molnupiravir</w:t>
      </w:r>
      <w:proofErr w:type="spellEnd"/>
      <w:r w:rsidRPr="00782398">
        <w:rPr>
          <w:rFonts w:cstheme="minorHAnsi"/>
          <w:color w:val="006FC0"/>
        </w:rPr>
        <w:t xml:space="preserve"> </w:t>
      </w:r>
      <w:r w:rsidRPr="00782398">
        <w:rPr>
          <w:rFonts w:cstheme="minorHAnsi"/>
          <w:color w:val="221F1F"/>
        </w:rPr>
        <w:t>for special warnings and precautions for use.</w:t>
      </w:r>
    </w:p>
    <w:p w14:paraId="28DD9DBF" w14:textId="77777777" w:rsidR="00FD0077" w:rsidRPr="00FD0077" w:rsidRDefault="00FD0077" w:rsidP="00FD0077">
      <w:pPr>
        <w:spacing w:after="0"/>
        <w:rPr>
          <w:rFonts w:cstheme="minorHAnsi"/>
          <w:b/>
        </w:rPr>
      </w:pPr>
    </w:p>
    <w:p w14:paraId="61C3A74D" w14:textId="77777777" w:rsidR="00D21A8D" w:rsidRDefault="00D21A8D" w:rsidP="0034139F">
      <w:pPr>
        <w:spacing w:after="0"/>
        <w:rPr>
          <w:rFonts w:cstheme="minorHAnsi"/>
          <w:b/>
        </w:rPr>
      </w:pPr>
    </w:p>
    <w:p w14:paraId="249F5C6A" w14:textId="788A03E0" w:rsidR="001819E1" w:rsidRPr="0034139F" w:rsidRDefault="0034139F" w:rsidP="0034139F">
      <w:pPr>
        <w:spacing w:after="0"/>
        <w:rPr>
          <w:rFonts w:cstheme="minorHAnsi"/>
          <w:b/>
        </w:rPr>
      </w:pPr>
      <w:r w:rsidRPr="0034139F">
        <w:rPr>
          <w:rFonts w:cstheme="minorHAnsi"/>
          <w:b/>
        </w:rPr>
        <w:t>Safety reporting</w:t>
      </w:r>
    </w:p>
    <w:p w14:paraId="6F4A0F7F" w14:textId="48BF85D3" w:rsidR="00BF041B" w:rsidRPr="0034139F" w:rsidRDefault="0034139F" w:rsidP="0034139F">
      <w:pPr>
        <w:spacing w:after="0"/>
        <w:rPr>
          <w:rFonts w:cstheme="minorHAnsi"/>
        </w:rPr>
      </w:pPr>
      <w:r w:rsidRPr="0034139F">
        <w:rPr>
          <w:rFonts w:cstheme="minorHAnsi"/>
        </w:rPr>
        <w:t xml:space="preserve">It is vital that any suspected adverse reactions (including congenital malformations and/or neurodevelopmental problems following treatment during pregnancy) are reported directly to the MHRA via the new dedicated COVID-19 Yellow Card reporting site at: </w:t>
      </w:r>
      <w:r>
        <w:rPr>
          <w:rFonts w:cstheme="minorHAnsi"/>
        </w:rPr>
        <w:t xml:space="preserve"> </w:t>
      </w:r>
      <w:hyperlink r:id="rId12" w:history="1">
        <w:r w:rsidRPr="0087525A">
          <w:rPr>
            <w:rStyle w:val="Hyperlink"/>
            <w:rFonts w:cstheme="minorHAnsi"/>
          </w:rPr>
          <w:t>https://coronavirus-yellowcard.mhra.gov.uk/</w:t>
        </w:r>
      </w:hyperlink>
      <w:r>
        <w:rPr>
          <w:rFonts w:cstheme="minorHAnsi"/>
        </w:rPr>
        <w:t xml:space="preserve"> </w:t>
      </w:r>
      <w:r w:rsidRPr="0034139F">
        <w:rPr>
          <w:rFonts w:cstheme="minorHAnsi"/>
        </w:rPr>
        <w:t>.</w:t>
      </w:r>
    </w:p>
    <w:p w14:paraId="0FE9947C" w14:textId="77777777" w:rsidR="00B06641" w:rsidRDefault="00B06641" w:rsidP="00BF041B">
      <w:pPr>
        <w:spacing w:after="0"/>
        <w:rPr>
          <w:rFonts w:cstheme="minorHAnsi"/>
        </w:rPr>
      </w:pPr>
    </w:p>
    <w:p w14:paraId="59F07374" w14:textId="77777777" w:rsidR="00D21A8D" w:rsidRDefault="00D21A8D" w:rsidP="00BF041B">
      <w:pPr>
        <w:spacing w:after="0"/>
        <w:rPr>
          <w:rFonts w:cstheme="minorHAnsi"/>
          <w:b/>
        </w:rPr>
      </w:pPr>
    </w:p>
    <w:p w14:paraId="0EF213CB" w14:textId="343E6D36" w:rsidR="00B06641" w:rsidRDefault="00B06641" w:rsidP="00BF041B">
      <w:pPr>
        <w:spacing w:after="0"/>
        <w:rPr>
          <w:rFonts w:cstheme="minorHAnsi"/>
          <w:b/>
        </w:rPr>
      </w:pPr>
      <w:r>
        <w:rPr>
          <w:rFonts w:cstheme="minorHAnsi"/>
          <w:b/>
        </w:rPr>
        <w:t>Reference</w:t>
      </w:r>
    </w:p>
    <w:p w14:paraId="63ADE4AD" w14:textId="77777777" w:rsidR="00D21A8D" w:rsidRDefault="00D21A8D" w:rsidP="00BF041B">
      <w:pPr>
        <w:spacing w:after="0"/>
        <w:rPr>
          <w:rFonts w:cstheme="minorHAnsi"/>
        </w:rPr>
      </w:pPr>
    </w:p>
    <w:p w14:paraId="3C01E4E1" w14:textId="657D101E" w:rsidR="00BF041B" w:rsidRPr="00A35846" w:rsidRDefault="00A35846" w:rsidP="00410FC5">
      <w:pPr>
        <w:pStyle w:val="ListParagraph"/>
        <w:numPr>
          <w:ilvl w:val="0"/>
          <w:numId w:val="29"/>
        </w:numPr>
        <w:spacing w:after="0"/>
        <w:rPr>
          <w:rFonts w:cstheme="minorHAnsi"/>
        </w:rPr>
      </w:pPr>
      <w:r w:rsidRPr="00A35846">
        <w:rPr>
          <w:rFonts w:cstheme="minorHAnsi"/>
        </w:rPr>
        <w:t>Casirivimab plus imdevimab, nirmatrelvir plus ritonavir, sotrovimab and tocilizumab for treating COVID-19</w:t>
      </w:r>
      <w:r>
        <w:rPr>
          <w:rFonts w:cstheme="minorHAnsi"/>
        </w:rPr>
        <w:t xml:space="preserve">. NICE TA 878 - </w:t>
      </w:r>
      <w:hyperlink r:id="rId13" w:history="1">
        <w:r w:rsidRPr="00A35846">
          <w:rPr>
            <w:color w:val="0000FF"/>
            <w:u w:val="single"/>
          </w:rPr>
          <w:t>Overview | Casirivimab plus imdevimab, nirmatrelvir plus ritonavir, sotrovimab and tocilizumab for treating COVID-19 | Guidance | NICE</w:t>
        </w:r>
      </w:hyperlink>
    </w:p>
    <w:p w14:paraId="459E678B" w14:textId="5982BF16" w:rsidR="00A35846" w:rsidRPr="003C0097" w:rsidRDefault="00A35846" w:rsidP="00410FC5">
      <w:pPr>
        <w:pStyle w:val="ListParagraph"/>
        <w:numPr>
          <w:ilvl w:val="0"/>
          <w:numId w:val="29"/>
        </w:numPr>
        <w:spacing w:after="0"/>
        <w:rPr>
          <w:rFonts w:cstheme="minorHAnsi"/>
        </w:rPr>
      </w:pPr>
      <w:r w:rsidRPr="00A35846">
        <w:rPr>
          <w:rFonts w:cstheme="minorHAnsi"/>
        </w:rPr>
        <w:t xml:space="preserve">Interim clinical commissioning policy: Remdesivir and </w:t>
      </w:r>
      <w:proofErr w:type="spellStart"/>
      <w:r w:rsidRPr="00A35846">
        <w:rPr>
          <w:rFonts w:cstheme="minorHAnsi"/>
        </w:rPr>
        <w:t>molnupiravir</w:t>
      </w:r>
      <w:proofErr w:type="spellEnd"/>
      <w:r w:rsidRPr="00A35846">
        <w:rPr>
          <w:rFonts w:cstheme="minorHAnsi"/>
        </w:rPr>
        <w:t xml:space="preserve"> for non-hospitalised patients with COVID-19</w:t>
      </w:r>
      <w:r>
        <w:rPr>
          <w:rFonts w:cstheme="minorHAnsi"/>
        </w:rPr>
        <w:t xml:space="preserve">. </w:t>
      </w:r>
      <w:hyperlink r:id="rId14" w:history="1">
        <w:r w:rsidRPr="00A35846">
          <w:rPr>
            <w:color w:val="0000FF"/>
            <w:u w:val="single"/>
          </w:rPr>
          <w:t xml:space="preserve">NHS England » Interim clinical commissioning policy: Remdesivir and </w:t>
        </w:r>
        <w:proofErr w:type="spellStart"/>
        <w:r w:rsidRPr="00A35846">
          <w:rPr>
            <w:color w:val="0000FF"/>
            <w:u w:val="single"/>
          </w:rPr>
          <w:t>molnupiravir</w:t>
        </w:r>
        <w:proofErr w:type="spellEnd"/>
        <w:r w:rsidRPr="00A35846">
          <w:rPr>
            <w:color w:val="0000FF"/>
            <w:u w:val="single"/>
          </w:rPr>
          <w:t xml:space="preserve"> for non-hospitalised patients with COVID-19</w:t>
        </w:r>
      </w:hyperlink>
    </w:p>
    <w:p w14:paraId="5289BDDE" w14:textId="255FA5AB" w:rsidR="003C0097" w:rsidRPr="003C0097" w:rsidRDefault="003C0097" w:rsidP="003C0097">
      <w:pPr>
        <w:pStyle w:val="ListParagraph"/>
        <w:numPr>
          <w:ilvl w:val="0"/>
          <w:numId w:val="29"/>
        </w:numPr>
        <w:spacing w:after="0"/>
        <w:rPr>
          <w:rFonts w:cstheme="minorHAnsi"/>
        </w:rPr>
      </w:pPr>
      <w:r w:rsidRPr="00F419EF">
        <w:rPr>
          <w:rFonts w:cstheme="minorHAnsi"/>
        </w:rPr>
        <w:t>COVID-19 rapid guideline: managing COVID-19</w:t>
      </w:r>
      <w:r>
        <w:rPr>
          <w:rFonts w:cstheme="minorHAnsi"/>
        </w:rPr>
        <w:t xml:space="preserve">. NICE Guideline [NG 191] </w:t>
      </w:r>
      <w:hyperlink r:id="rId15" w:history="1">
        <w:r w:rsidRPr="00F419EF">
          <w:rPr>
            <w:color w:val="0000FF"/>
            <w:u w:val="single"/>
          </w:rPr>
          <w:t>Overview | COVID-19 rapid guideline: managing COVID-19 | Guidance | NICE</w:t>
        </w:r>
      </w:hyperlink>
    </w:p>
    <w:p w14:paraId="5F1393D0" w14:textId="27D2B651" w:rsidR="00A35846" w:rsidRDefault="00A35846" w:rsidP="00A35846">
      <w:pPr>
        <w:pStyle w:val="ListParagraph"/>
        <w:numPr>
          <w:ilvl w:val="0"/>
          <w:numId w:val="29"/>
        </w:numPr>
        <w:spacing w:after="0"/>
        <w:rPr>
          <w:rFonts w:cstheme="minorHAnsi"/>
        </w:rPr>
      </w:pPr>
      <w:r w:rsidRPr="00A35846">
        <w:rPr>
          <w:rFonts w:cstheme="minorHAnsi"/>
        </w:rPr>
        <w:t>Independent report</w:t>
      </w:r>
      <w:r>
        <w:rPr>
          <w:rFonts w:cstheme="minorHAnsi"/>
        </w:rPr>
        <w:t xml:space="preserve">: </w:t>
      </w:r>
      <w:r w:rsidRPr="00A35846">
        <w:rPr>
          <w:rFonts w:cstheme="minorHAnsi"/>
        </w:rPr>
        <w:t>Higher-risk patients eligible for COVID-19 treatments: independent advisory group report</w:t>
      </w:r>
      <w:r>
        <w:rPr>
          <w:rFonts w:cstheme="minorHAnsi"/>
        </w:rPr>
        <w:t xml:space="preserve">. </w:t>
      </w:r>
      <w:hyperlink r:id="rId16" w:history="1">
        <w:r w:rsidRPr="00564F6C">
          <w:rPr>
            <w:rStyle w:val="Hyperlink"/>
            <w:rFonts w:cstheme="minorHAnsi"/>
          </w:rPr>
          <w:t>https://www.gov.uk/government/publications/higher-risk-patients-eligible-for-covid-19-treatments-independent-advisory-group-report</w:t>
        </w:r>
      </w:hyperlink>
      <w:r>
        <w:rPr>
          <w:rFonts w:cstheme="minorHAnsi"/>
        </w:rPr>
        <w:t xml:space="preserve"> </w:t>
      </w:r>
    </w:p>
    <w:p w14:paraId="3ADFB0FF" w14:textId="77777777" w:rsidR="001A3CBE" w:rsidRDefault="001A3CBE" w:rsidP="000E709D">
      <w:pPr>
        <w:spacing w:after="0"/>
        <w:rPr>
          <w:rFonts w:cstheme="minorHAnsi"/>
          <w:b/>
        </w:rPr>
      </w:pPr>
    </w:p>
    <w:p w14:paraId="1FE393CF" w14:textId="77777777" w:rsidR="00375A04" w:rsidRDefault="00375A04" w:rsidP="00BF041B">
      <w:pPr>
        <w:spacing w:after="0"/>
        <w:rPr>
          <w:rFonts w:cstheme="minorHAnsi"/>
        </w:rPr>
      </w:pPr>
    </w:p>
    <w:p w14:paraId="2C089E7E" w14:textId="77777777" w:rsidR="00E540F9" w:rsidRDefault="00E540F9" w:rsidP="00BF041B">
      <w:pPr>
        <w:spacing w:after="0"/>
        <w:rPr>
          <w:rFonts w:cstheme="minorHAnsi"/>
          <w:b/>
        </w:rPr>
      </w:pPr>
    </w:p>
    <w:p w14:paraId="6B516861" w14:textId="77777777" w:rsidR="00091FA6" w:rsidRDefault="00091FA6" w:rsidP="00BF041B">
      <w:pPr>
        <w:spacing w:after="0"/>
        <w:rPr>
          <w:rFonts w:cstheme="minorHAnsi"/>
          <w:b/>
        </w:rPr>
      </w:pPr>
    </w:p>
    <w:p w14:paraId="098383A9" w14:textId="77777777" w:rsidR="001A44CA" w:rsidRDefault="001A44CA" w:rsidP="00BF041B">
      <w:pPr>
        <w:spacing w:after="0"/>
        <w:rPr>
          <w:rFonts w:cstheme="minorHAnsi"/>
          <w:noProof/>
          <w:sz w:val="16"/>
          <w:szCs w:val="16"/>
          <w:lang w:eastAsia="en-GB"/>
        </w:rPr>
      </w:pPr>
    </w:p>
    <w:p w14:paraId="5EC48CE3" w14:textId="5770B747" w:rsidR="0034139F" w:rsidRDefault="0034139F" w:rsidP="00BF041B">
      <w:pPr>
        <w:spacing w:after="0"/>
        <w:rPr>
          <w:rFonts w:cstheme="minorHAnsi"/>
        </w:rPr>
      </w:pPr>
    </w:p>
    <w:p w14:paraId="634FBCA3" w14:textId="77777777" w:rsidR="0034139F" w:rsidRDefault="0034139F" w:rsidP="00BF041B">
      <w:pPr>
        <w:spacing w:after="0"/>
        <w:rPr>
          <w:rFonts w:cstheme="minorHAnsi"/>
        </w:rPr>
      </w:pPr>
    </w:p>
    <w:p w14:paraId="05049A8D" w14:textId="77777777" w:rsidR="0034139F" w:rsidRDefault="0034139F" w:rsidP="00BF041B">
      <w:pPr>
        <w:spacing w:after="0"/>
        <w:rPr>
          <w:rFonts w:cstheme="minorHAnsi"/>
        </w:rPr>
      </w:pPr>
    </w:p>
    <w:p w14:paraId="1CA9C4D4" w14:textId="77777777" w:rsidR="0034139F" w:rsidRDefault="0034139F" w:rsidP="00BF041B">
      <w:pPr>
        <w:spacing w:after="0"/>
        <w:rPr>
          <w:rFonts w:cstheme="minorHAnsi"/>
        </w:rPr>
      </w:pPr>
    </w:p>
    <w:p w14:paraId="37F0B5EF" w14:textId="77777777" w:rsidR="0034139F" w:rsidRDefault="0034139F" w:rsidP="00BF041B">
      <w:pPr>
        <w:spacing w:after="0"/>
        <w:rPr>
          <w:rFonts w:cstheme="minorHAnsi"/>
        </w:rPr>
      </w:pPr>
    </w:p>
    <w:p w14:paraId="28805F27" w14:textId="77777777" w:rsidR="0034139F" w:rsidRDefault="0034139F" w:rsidP="00BF041B">
      <w:pPr>
        <w:spacing w:after="0"/>
        <w:rPr>
          <w:rFonts w:cstheme="minorHAnsi"/>
        </w:rPr>
      </w:pPr>
    </w:p>
    <w:p w14:paraId="5FCF2007" w14:textId="77777777" w:rsidR="0034139F" w:rsidRDefault="0034139F" w:rsidP="00BF041B">
      <w:pPr>
        <w:spacing w:after="0"/>
        <w:rPr>
          <w:rFonts w:cstheme="minorHAnsi"/>
        </w:rPr>
      </w:pPr>
    </w:p>
    <w:p w14:paraId="280C839D" w14:textId="1A33FC15" w:rsidR="0034139F" w:rsidRDefault="0034139F" w:rsidP="00BF041B">
      <w:pPr>
        <w:spacing w:after="0"/>
        <w:rPr>
          <w:rFonts w:cstheme="minorHAnsi"/>
        </w:rPr>
      </w:pPr>
    </w:p>
    <w:p w14:paraId="607E0CF9" w14:textId="77777777" w:rsidR="0034139F" w:rsidRDefault="0034139F" w:rsidP="00BF041B">
      <w:pPr>
        <w:spacing w:after="0"/>
        <w:rPr>
          <w:rFonts w:cstheme="minorHAnsi"/>
        </w:rPr>
      </w:pPr>
    </w:p>
    <w:p w14:paraId="74FEE117" w14:textId="77777777" w:rsidR="0034139F" w:rsidRDefault="0034139F" w:rsidP="00BF041B">
      <w:pPr>
        <w:spacing w:after="0"/>
        <w:rPr>
          <w:rFonts w:cstheme="minorHAnsi"/>
        </w:rPr>
      </w:pPr>
    </w:p>
    <w:p w14:paraId="710E2E0E" w14:textId="77777777" w:rsidR="0034139F" w:rsidRDefault="0034139F" w:rsidP="00BF041B">
      <w:pPr>
        <w:spacing w:after="0"/>
        <w:rPr>
          <w:rFonts w:cstheme="minorHAnsi"/>
        </w:rPr>
      </w:pPr>
    </w:p>
    <w:p w14:paraId="219B3B2C" w14:textId="50620FB9" w:rsidR="0034139F" w:rsidRPr="00BF041B" w:rsidRDefault="0034139F" w:rsidP="00BF041B">
      <w:pPr>
        <w:spacing w:after="0"/>
        <w:rPr>
          <w:rFonts w:cstheme="minorHAnsi"/>
        </w:rPr>
      </w:pPr>
    </w:p>
    <w:sectPr w:rsidR="0034139F" w:rsidRPr="00BF041B" w:rsidSect="00352AF6">
      <w:headerReference w:type="default" r:id="rId17"/>
      <w:headerReference w:type="first" r:id="rId18"/>
      <w:footerReference w:type="first" r:id="rId19"/>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4447" w14:textId="77777777" w:rsidR="00517060" w:rsidRDefault="00517060" w:rsidP="00FC396B">
      <w:pPr>
        <w:spacing w:after="0" w:line="240" w:lineRule="auto"/>
      </w:pPr>
      <w:r>
        <w:separator/>
      </w:r>
    </w:p>
  </w:endnote>
  <w:endnote w:type="continuationSeparator" w:id="0">
    <w:p w14:paraId="2B630AC5" w14:textId="77777777" w:rsidR="00517060" w:rsidRDefault="00517060" w:rsidP="00FC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8BE1" w14:textId="708B8BEC" w:rsidR="004C568C" w:rsidRPr="004C568C" w:rsidRDefault="004C568C">
    <w:pPr>
      <w:pStyle w:val="Footer"/>
      <w:rPr>
        <w:sz w:val="18"/>
        <w:szCs w:val="18"/>
      </w:rPr>
    </w:pPr>
    <w:r w:rsidRPr="004C568C">
      <w:rPr>
        <w:sz w:val="18"/>
        <w:szCs w:val="18"/>
      </w:rPr>
      <w:t>Vikesh Gudka, Clinical commissioning Pharmacist, University Hospital Sussex NHS Trust. V1.</w:t>
    </w:r>
    <w:r w:rsidR="005A1A36">
      <w:rPr>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A72D" w14:textId="77777777" w:rsidR="00517060" w:rsidRDefault="00517060" w:rsidP="00FC396B">
      <w:pPr>
        <w:spacing w:after="0" w:line="240" w:lineRule="auto"/>
      </w:pPr>
      <w:r>
        <w:separator/>
      </w:r>
    </w:p>
  </w:footnote>
  <w:footnote w:type="continuationSeparator" w:id="0">
    <w:p w14:paraId="2A8D0A55" w14:textId="77777777" w:rsidR="00517060" w:rsidRDefault="00517060" w:rsidP="00FC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FBFD" w14:textId="77777777" w:rsidR="00C3205E" w:rsidRDefault="00C3205E" w:rsidP="00C3205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BFA" w14:textId="2CC9D7B3" w:rsidR="00C3205E" w:rsidRDefault="00C3205E" w:rsidP="00C3205E">
    <w:pPr>
      <w:pStyle w:val="Header"/>
      <w:jc w:val="right"/>
    </w:pPr>
    <w:r>
      <w:rPr>
        <w:noProof/>
        <w:sz w:val="20"/>
        <w:lang w:eastAsia="en-GB"/>
      </w:rPr>
      <w:drawing>
        <wp:inline distT="0" distB="0" distL="0" distR="0" wp14:anchorId="5664B043" wp14:editId="6FCAEA0E">
          <wp:extent cx="2665810" cy="746150"/>
          <wp:effectExtent l="0" t="0" r="127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t="20363" r="8559" b="17532"/>
                  <a:stretch>
                    <a:fillRect/>
                  </a:stretch>
                </pic:blipFill>
                <pic:spPr bwMode="auto">
                  <a:xfrm>
                    <a:off x="0" y="0"/>
                    <a:ext cx="2681263" cy="75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D6E06"/>
    <w:multiLevelType w:val="hybridMultilevel"/>
    <w:tmpl w:val="83819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99E19B"/>
    <w:multiLevelType w:val="hybridMultilevel"/>
    <w:tmpl w:val="F48FC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6C298D"/>
    <w:multiLevelType w:val="hybridMultilevel"/>
    <w:tmpl w:val="F25BF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525783"/>
    <w:multiLevelType w:val="hybridMultilevel"/>
    <w:tmpl w:val="293D0A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946C79"/>
    <w:multiLevelType w:val="hybridMultilevel"/>
    <w:tmpl w:val="F28E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C2C91"/>
    <w:multiLevelType w:val="hybridMultilevel"/>
    <w:tmpl w:val="60807776"/>
    <w:lvl w:ilvl="0" w:tplc="EF90205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D83B45"/>
    <w:multiLevelType w:val="hybridMultilevel"/>
    <w:tmpl w:val="1F5C72B2"/>
    <w:lvl w:ilvl="0" w:tplc="EF90205A">
      <w:start w:val="1"/>
      <w:numFmt w:val="decimal"/>
      <w:lvlText w:val="%1."/>
      <w:lvlJc w:val="left"/>
      <w:pPr>
        <w:ind w:left="40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9" w15:restartNumberingAfterBreak="0">
    <w:nsid w:val="0EC601BD"/>
    <w:multiLevelType w:val="hybridMultilevel"/>
    <w:tmpl w:val="E03E3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347EF"/>
    <w:multiLevelType w:val="hybridMultilevel"/>
    <w:tmpl w:val="A32C3A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B0BDE"/>
    <w:multiLevelType w:val="hybridMultilevel"/>
    <w:tmpl w:val="1144B7E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8602C5"/>
    <w:multiLevelType w:val="hybridMultilevel"/>
    <w:tmpl w:val="B7909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26058B"/>
    <w:multiLevelType w:val="hybridMultilevel"/>
    <w:tmpl w:val="A1F0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B32CE"/>
    <w:multiLevelType w:val="hybridMultilevel"/>
    <w:tmpl w:val="67605D50"/>
    <w:lvl w:ilvl="0" w:tplc="3EE06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F91E14"/>
    <w:multiLevelType w:val="hybridMultilevel"/>
    <w:tmpl w:val="A064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C2075"/>
    <w:multiLevelType w:val="hybridMultilevel"/>
    <w:tmpl w:val="B3507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9C3178"/>
    <w:multiLevelType w:val="hybridMultilevel"/>
    <w:tmpl w:val="FFCC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223AC6"/>
    <w:multiLevelType w:val="hybridMultilevel"/>
    <w:tmpl w:val="FE18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05717"/>
    <w:multiLevelType w:val="hybridMultilevel"/>
    <w:tmpl w:val="9A7AC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5E865E1"/>
    <w:multiLevelType w:val="hybridMultilevel"/>
    <w:tmpl w:val="63DA0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C05B1C"/>
    <w:multiLevelType w:val="hybridMultilevel"/>
    <w:tmpl w:val="0EC2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E4565"/>
    <w:multiLevelType w:val="hybridMultilevel"/>
    <w:tmpl w:val="19E85C46"/>
    <w:lvl w:ilvl="0" w:tplc="3EE06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E75AC"/>
    <w:multiLevelType w:val="hybridMultilevel"/>
    <w:tmpl w:val="245C25D4"/>
    <w:lvl w:ilvl="0" w:tplc="EF90205A">
      <w:start w:val="1"/>
      <w:numFmt w:val="decimal"/>
      <w:lvlText w:val="%1."/>
      <w:lvlJc w:val="left"/>
      <w:pPr>
        <w:ind w:left="40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4" w15:restartNumberingAfterBreak="0">
    <w:nsid w:val="2F7197C7"/>
    <w:multiLevelType w:val="hybridMultilevel"/>
    <w:tmpl w:val="7FACE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0207466"/>
    <w:multiLevelType w:val="hybridMultilevel"/>
    <w:tmpl w:val="7F8A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EE10EF"/>
    <w:multiLevelType w:val="hybridMultilevel"/>
    <w:tmpl w:val="8A62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D63EC5"/>
    <w:multiLevelType w:val="hybridMultilevel"/>
    <w:tmpl w:val="9120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C15408"/>
    <w:multiLevelType w:val="hybridMultilevel"/>
    <w:tmpl w:val="0084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C418BC"/>
    <w:multiLevelType w:val="hybridMultilevel"/>
    <w:tmpl w:val="19B0C9C8"/>
    <w:lvl w:ilvl="0" w:tplc="3EE06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B1EDF"/>
    <w:multiLevelType w:val="hybridMultilevel"/>
    <w:tmpl w:val="528C4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92245"/>
    <w:multiLevelType w:val="hybridMultilevel"/>
    <w:tmpl w:val="CC66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C67CA"/>
    <w:multiLevelType w:val="hybridMultilevel"/>
    <w:tmpl w:val="4372C554"/>
    <w:lvl w:ilvl="0" w:tplc="D24E96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41D9A"/>
    <w:multiLevelType w:val="hybridMultilevel"/>
    <w:tmpl w:val="B7D62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9974E1"/>
    <w:multiLevelType w:val="hybridMultilevel"/>
    <w:tmpl w:val="45C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52790"/>
    <w:multiLevelType w:val="hybridMultilevel"/>
    <w:tmpl w:val="01D49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A73102"/>
    <w:multiLevelType w:val="hybridMultilevel"/>
    <w:tmpl w:val="BCFEE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0842FC"/>
    <w:multiLevelType w:val="hybridMultilevel"/>
    <w:tmpl w:val="4462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B41527"/>
    <w:multiLevelType w:val="hybridMultilevel"/>
    <w:tmpl w:val="5040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B1AB8"/>
    <w:multiLevelType w:val="hybridMultilevel"/>
    <w:tmpl w:val="74C0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74147"/>
    <w:multiLevelType w:val="hybridMultilevel"/>
    <w:tmpl w:val="1D86E0E4"/>
    <w:lvl w:ilvl="0" w:tplc="2E2487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D199B"/>
    <w:multiLevelType w:val="hybridMultilevel"/>
    <w:tmpl w:val="2D0C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90368"/>
    <w:multiLevelType w:val="hybridMultilevel"/>
    <w:tmpl w:val="AEBE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3310DD"/>
    <w:multiLevelType w:val="hybridMultilevel"/>
    <w:tmpl w:val="D47674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C148F6"/>
    <w:multiLevelType w:val="hybridMultilevel"/>
    <w:tmpl w:val="6B4A621C"/>
    <w:lvl w:ilvl="0" w:tplc="2E2487F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D2EF7"/>
    <w:multiLevelType w:val="hybridMultilevel"/>
    <w:tmpl w:val="005C2760"/>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num w:numId="1" w16cid:durableId="244732191">
    <w:abstractNumId w:val="9"/>
  </w:num>
  <w:num w:numId="2" w16cid:durableId="2116440254">
    <w:abstractNumId w:val="26"/>
  </w:num>
  <w:num w:numId="3" w16cid:durableId="1021083180">
    <w:abstractNumId w:val="27"/>
  </w:num>
  <w:num w:numId="4" w16cid:durableId="1011297297">
    <w:abstractNumId w:val="37"/>
  </w:num>
  <w:num w:numId="5" w16cid:durableId="1839805231">
    <w:abstractNumId w:val="39"/>
  </w:num>
  <w:num w:numId="6" w16cid:durableId="2019648295">
    <w:abstractNumId w:val="15"/>
  </w:num>
  <w:num w:numId="7" w16cid:durableId="1686901383">
    <w:abstractNumId w:val="31"/>
  </w:num>
  <w:num w:numId="8" w16cid:durableId="957874392">
    <w:abstractNumId w:val="21"/>
  </w:num>
  <w:num w:numId="9" w16cid:durableId="264309999">
    <w:abstractNumId w:val="19"/>
  </w:num>
  <w:num w:numId="10" w16cid:durableId="63187949">
    <w:abstractNumId w:val="5"/>
  </w:num>
  <w:num w:numId="11" w16cid:durableId="713702553">
    <w:abstractNumId w:val="4"/>
  </w:num>
  <w:num w:numId="12" w16cid:durableId="1553924126">
    <w:abstractNumId w:val="32"/>
  </w:num>
  <w:num w:numId="13" w16cid:durableId="1679120277">
    <w:abstractNumId w:val="2"/>
  </w:num>
  <w:num w:numId="14" w16cid:durableId="53235907">
    <w:abstractNumId w:val="1"/>
  </w:num>
  <w:num w:numId="15" w16cid:durableId="431828425">
    <w:abstractNumId w:val="0"/>
  </w:num>
  <w:num w:numId="16" w16cid:durableId="734352519">
    <w:abstractNumId w:val="24"/>
  </w:num>
  <w:num w:numId="17" w16cid:durableId="275255477">
    <w:abstractNumId w:val="7"/>
  </w:num>
  <w:num w:numId="18" w16cid:durableId="656492241">
    <w:abstractNumId w:val="8"/>
  </w:num>
  <w:num w:numId="19" w16cid:durableId="909850175">
    <w:abstractNumId w:val="23"/>
  </w:num>
  <w:num w:numId="20" w16cid:durableId="709382160">
    <w:abstractNumId w:val="10"/>
  </w:num>
  <w:num w:numId="21" w16cid:durableId="1806240565">
    <w:abstractNumId w:val="38"/>
  </w:num>
  <w:num w:numId="22" w16cid:durableId="1316490642">
    <w:abstractNumId w:val="41"/>
  </w:num>
  <w:num w:numId="23" w16cid:durableId="1047684233">
    <w:abstractNumId w:val="11"/>
  </w:num>
  <w:num w:numId="24" w16cid:durableId="927690775">
    <w:abstractNumId w:val="6"/>
  </w:num>
  <w:num w:numId="25" w16cid:durableId="1165902100">
    <w:abstractNumId w:val="18"/>
  </w:num>
  <w:num w:numId="26" w16cid:durableId="1258323012">
    <w:abstractNumId w:val="28"/>
  </w:num>
  <w:num w:numId="27" w16cid:durableId="1728456682">
    <w:abstractNumId w:val="22"/>
  </w:num>
  <w:num w:numId="28" w16cid:durableId="740446466">
    <w:abstractNumId w:val="3"/>
  </w:num>
  <w:num w:numId="29" w16cid:durableId="1282296871">
    <w:abstractNumId w:val="30"/>
  </w:num>
  <w:num w:numId="30" w16cid:durableId="384985276">
    <w:abstractNumId w:val="45"/>
  </w:num>
  <w:num w:numId="31" w16cid:durableId="1008631112">
    <w:abstractNumId w:val="34"/>
  </w:num>
  <w:num w:numId="32" w16cid:durableId="1572889219">
    <w:abstractNumId w:val="43"/>
  </w:num>
  <w:num w:numId="33" w16cid:durableId="348995371">
    <w:abstractNumId w:val="29"/>
  </w:num>
  <w:num w:numId="34" w16cid:durableId="377826632">
    <w:abstractNumId w:val="14"/>
  </w:num>
  <w:num w:numId="35" w16cid:durableId="2017150300">
    <w:abstractNumId w:val="35"/>
  </w:num>
  <w:num w:numId="36" w16cid:durableId="1864853484">
    <w:abstractNumId w:val="33"/>
  </w:num>
  <w:num w:numId="37" w16cid:durableId="1437479802">
    <w:abstractNumId w:val="16"/>
  </w:num>
  <w:num w:numId="38" w16cid:durableId="2020617536">
    <w:abstractNumId w:val="17"/>
  </w:num>
  <w:num w:numId="39" w16cid:durableId="848106951">
    <w:abstractNumId w:val="36"/>
  </w:num>
  <w:num w:numId="40" w16cid:durableId="875896260">
    <w:abstractNumId w:val="20"/>
  </w:num>
  <w:num w:numId="41" w16cid:durableId="288363075">
    <w:abstractNumId w:val="12"/>
  </w:num>
  <w:num w:numId="42" w16cid:durableId="370299514">
    <w:abstractNumId w:val="42"/>
  </w:num>
  <w:num w:numId="43" w16cid:durableId="2016612573">
    <w:abstractNumId w:val="13"/>
  </w:num>
  <w:num w:numId="44" w16cid:durableId="266930077">
    <w:abstractNumId w:val="25"/>
  </w:num>
  <w:num w:numId="45" w16cid:durableId="632447846">
    <w:abstractNumId w:val="44"/>
  </w:num>
  <w:num w:numId="46" w16cid:durableId="27440723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CCC"/>
    <w:rsid w:val="000614B6"/>
    <w:rsid w:val="00091FA6"/>
    <w:rsid w:val="0009568D"/>
    <w:rsid w:val="000C06DB"/>
    <w:rsid w:val="000E6846"/>
    <w:rsid w:val="000E709D"/>
    <w:rsid w:val="000F58C5"/>
    <w:rsid w:val="00111EC9"/>
    <w:rsid w:val="00127245"/>
    <w:rsid w:val="00135284"/>
    <w:rsid w:val="00156F8E"/>
    <w:rsid w:val="001819E1"/>
    <w:rsid w:val="001822EF"/>
    <w:rsid w:val="0018366C"/>
    <w:rsid w:val="001A3CBE"/>
    <w:rsid w:val="001A44CA"/>
    <w:rsid w:val="001B7602"/>
    <w:rsid w:val="001C3BAC"/>
    <w:rsid w:val="001C5405"/>
    <w:rsid w:val="001D1CCC"/>
    <w:rsid w:val="001F0060"/>
    <w:rsid w:val="001F429B"/>
    <w:rsid w:val="00200CDF"/>
    <w:rsid w:val="00202D04"/>
    <w:rsid w:val="00225580"/>
    <w:rsid w:val="0023578F"/>
    <w:rsid w:val="00236686"/>
    <w:rsid w:val="00245974"/>
    <w:rsid w:val="00280F8A"/>
    <w:rsid w:val="002A04FD"/>
    <w:rsid w:val="002B2A10"/>
    <w:rsid w:val="002B5962"/>
    <w:rsid w:val="002F4770"/>
    <w:rsid w:val="003024F8"/>
    <w:rsid w:val="003257AB"/>
    <w:rsid w:val="0034139F"/>
    <w:rsid w:val="00350FA8"/>
    <w:rsid w:val="00352969"/>
    <w:rsid w:val="00352AF6"/>
    <w:rsid w:val="00353BEB"/>
    <w:rsid w:val="003755EC"/>
    <w:rsid w:val="00375A04"/>
    <w:rsid w:val="00393E9E"/>
    <w:rsid w:val="003C0097"/>
    <w:rsid w:val="003E2AE3"/>
    <w:rsid w:val="003F2603"/>
    <w:rsid w:val="003F28F7"/>
    <w:rsid w:val="00410FC5"/>
    <w:rsid w:val="00442B08"/>
    <w:rsid w:val="00462CFB"/>
    <w:rsid w:val="00485C5F"/>
    <w:rsid w:val="004A041F"/>
    <w:rsid w:val="004A5E3D"/>
    <w:rsid w:val="004C568C"/>
    <w:rsid w:val="004D74A2"/>
    <w:rsid w:val="004F68E0"/>
    <w:rsid w:val="00514059"/>
    <w:rsid w:val="00517060"/>
    <w:rsid w:val="00584776"/>
    <w:rsid w:val="005A1A36"/>
    <w:rsid w:val="005A3309"/>
    <w:rsid w:val="005D7AF2"/>
    <w:rsid w:val="005F2C40"/>
    <w:rsid w:val="00606A81"/>
    <w:rsid w:val="006121F3"/>
    <w:rsid w:val="00647F9D"/>
    <w:rsid w:val="00655C17"/>
    <w:rsid w:val="006965ED"/>
    <w:rsid w:val="006B77C0"/>
    <w:rsid w:val="006E4A4F"/>
    <w:rsid w:val="006E64BA"/>
    <w:rsid w:val="00717EFB"/>
    <w:rsid w:val="00721D74"/>
    <w:rsid w:val="00773D76"/>
    <w:rsid w:val="00777031"/>
    <w:rsid w:val="00782398"/>
    <w:rsid w:val="007D4367"/>
    <w:rsid w:val="008011C8"/>
    <w:rsid w:val="00811365"/>
    <w:rsid w:val="00816ABA"/>
    <w:rsid w:val="00841225"/>
    <w:rsid w:val="00871011"/>
    <w:rsid w:val="008A1EA0"/>
    <w:rsid w:val="008A2154"/>
    <w:rsid w:val="008B3B36"/>
    <w:rsid w:val="008C2490"/>
    <w:rsid w:val="008D22DF"/>
    <w:rsid w:val="008D3159"/>
    <w:rsid w:val="009054F7"/>
    <w:rsid w:val="009068AF"/>
    <w:rsid w:val="00907525"/>
    <w:rsid w:val="00924B6F"/>
    <w:rsid w:val="00946753"/>
    <w:rsid w:val="00971860"/>
    <w:rsid w:val="009950D2"/>
    <w:rsid w:val="009A4213"/>
    <w:rsid w:val="009E350B"/>
    <w:rsid w:val="009F3339"/>
    <w:rsid w:val="00A25364"/>
    <w:rsid w:val="00A30A7C"/>
    <w:rsid w:val="00A35846"/>
    <w:rsid w:val="00A57498"/>
    <w:rsid w:val="00A82CDA"/>
    <w:rsid w:val="00A86FC8"/>
    <w:rsid w:val="00A874F7"/>
    <w:rsid w:val="00AA0353"/>
    <w:rsid w:val="00AA2FEA"/>
    <w:rsid w:val="00AD2E51"/>
    <w:rsid w:val="00AD6DB0"/>
    <w:rsid w:val="00AE12C4"/>
    <w:rsid w:val="00AE194B"/>
    <w:rsid w:val="00B00F6E"/>
    <w:rsid w:val="00B05F66"/>
    <w:rsid w:val="00B06641"/>
    <w:rsid w:val="00B21884"/>
    <w:rsid w:val="00B27901"/>
    <w:rsid w:val="00B40917"/>
    <w:rsid w:val="00B93E1E"/>
    <w:rsid w:val="00BA7C36"/>
    <w:rsid w:val="00BB2762"/>
    <w:rsid w:val="00BC270E"/>
    <w:rsid w:val="00BC2C91"/>
    <w:rsid w:val="00BF041B"/>
    <w:rsid w:val="00BF6DBE"/>
    <w:rsid w:val="00C14826"/>
    <w:rsid w:val="00C25471"/>
    <w:rsid w:val="00C3205E"/>
    <w:rsid w:val="00C33997"/>
    <w:rsid w:val="00C33FFF"/>
    <w:rsid w:val="00C37E28"/>
    <w:rsid w:val="00C4341C"/>
    <w:rsid w:val="00C44894"/>
    <w:rsid w:val="00C4569F"/>
    <w:rsid w:val="00C4640E"/>
    <w:rsid w:val="00C5691B"/>
    <w:rsid w:val="00C606A9"/>
    <w:rsid w:val="00C94F4B"/>
    <w:rsid w:val="00C97542"/>
    <w:rsid w:val="00CA7286"/>
    <w:rsid w:val="00CD14C3"/>
    <w:rsid w:val="00CD1E72"/>
    <w:rsid w:val="00CE0C0A"/>
    <w:rsid w:val="00D21A8D"/>
    <w:rsid w:val="00D359D2"/>
    <w:rsid w:val="00D67427"/>
    <w:rsid w:val="00D86426"/>
    <w:rsid w:val="00DB30B5"/>
    <w:rsid w:val="00DC75B1"/>
    <w:rsid w:val="00DD0F50"/>
    <w:rsid w:val="00DD3301"/>
    <w:rsid w:val="00DD653E"/>
    <w:rsid w:val="00DF02EF"/>
    <w:rsid w:val="00E17E34"/>
    <w:rsid w:val="00E32EB7"/>
    <w:rsid w:val="00E5375B"/>
    <w:rsid w:val="00E540F9"/>
    <w:rsid w:val="00E76398"/>
    <w:rsid w:val="00E90000"/>
    <w:rsid w:val="00EB7386"/>
    <w:rsid w:val="00EC34D6"/>
    <w:rsid w:val="00EC3FED"/>
    <w:rsid w:val="00ED1EE7"/>
    <w:rsid w:val="00F02905"/>
    <w:rsid w:val="00F05DE3"/>
    <w:rsid w:val="00F06CD1"/>
    <w:rsid w:val="00F15854"/>
    <w:rsid w:val="00F16CBB"/>
    <w:rsid w:val="00F27265"/>
    <w:rsid w:val="00F30AD2"/>
    <w:rsid w:val="00F35B1B"/>
    <w:rsid w:val="00F419EF"/>
    <w:rsid w:val="00F57BE2"/>
    <w:rsid w:val="00F654A6"/>
    <w:rsid w:val="00F67FBC"/>
    <w:rsid w:val="00F73C35"/>
    <w:rsid w:val="00F74F45"/>
    <w:rsid w:val="00F86001"/>
    <w:rsid w:val="00F923B3"/>
    <w:rsid w:val="00FB2661"/>
    <w:rsid w:val="00FC396B"/>
    <w:rsid w:val="00FD0077"/>
    <w:rsid w:val="00FD0AC9"/>
    <w:rsid w:val="00FF56CB"/>
    <w:rsid w:val="00FF7CE9"/>
    <w:rsid w:val="24CA5F08"/>
    <w:rsid w:val="5147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5C9435"/>
  <w15:docId w15:val="{1D011815-E7D0-4D17-A360-92FCE836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E1"/>
  </w:style>
  <w:style w:type="paragraph" w:styleId="Heading1">
    <w:name w:val="heading 1"/>
    <w:basedOn w:val="Normal"/>
    <w:next w:val="Normal"/>
    <w:link w:val="Heading1Char"/>
    <w:uiPriority w:val="9"/>
    <w:qFormat/>
    <w:rsid w:val="00442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CC"/>
    <w:rPr>
      <w:rFonts w:ascii="Tahoma" w:hAnsi="Tahoma" w:cs="Tahoma"/>
      <w:sz w:val="16"/>
      <w:szCs w:val="16"/>
    </w:rPr>
  </w:style>
  <w:style w:type="character" w:customStyle="1" w:styleId="Heading1Char">
    <w:name w:val="Heading 1 Char"/>
    <w:basedOn w:val="DefaultParagraphFont"/>
    <w:link w:val="Heading1"/>
    <w:uiPriority w:val="9"/>
    <w:rsid w:val="00442B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E17E34"/>
    <w:pPr>
      <w:ind w:left="720"/>
      <w:contextualSpacing/>
    </w:pPr>
  </w:style>
  <w:style w:type="character" w:styleId="Hyperlink">
    <w:name w:val="Hyperlink"/>
    <w:basedOn w:val="DefaultParagraphFont"/>
    <w:uiPriority w:val="99"/>
    <w:unhideWhenUsed/>
    <w:rsid w:val="00D86426"/>
    <w:rPr>
      <w:color w:val="0000FF" w:themeColor="hyperlink"/>
      <w:u w:val="single"/>
    </w:rPr>
  </w:style>
  <w:style w:type="character" w:styleId="CommentReference">
    <w:name w:val="annotation reference"/>
    <w:basedOn w:val="DefaultParagraphFont"/>
    <w:uiPriority w:val="99"/>
    <w:semiHidden/>
    <w:unhideWhenUsed/>
    <w:rsid w:val="00DB30B5"/>
    <w:rPr>
      <w:sz w:val="16"/>
      <w:szCs w:val="16"/>
    </w:rPr>
  </w:style>
  <w:style w:type="paragraph" w:styleId="CommentText">
    <w:name w:val="annotation text"/>
    <w:basedOn w:val="Normal"/>
    <w:link w:val="CommentTextChar"/>
    <w:uiPriority w:val="99"/>
    <w:semiHidden/>
    <w:unhideWhenUsed/>
    <w:rsid w:val="00DB30B5"/>
    <w:pPr>
      <w:spacing w:line="240" w:lineRule="auto"/>
    </w:pPr>
    <w:rPr>
      <w:sz w:val="20"/>
      <w:szCs w:val="20"/>
    </w:rPr>
  </w:style>
  <w:style w:type="character" w:customStyle="1" w:styleId="CommentTextChar">
    <w:name w:val="Comment Text Char"/>
    <w:basedOn w:val="DefaultParagraphFont"/>
    <w:link w:val="CommentText"/>
    <w:uiPriority w:val="99"/>
    <w:semiHidden/>
    <w:rsid w:val="00DB30B5"/>
    <w:rPr>
      <w:sz w:val="20"/>
      <w:szCs w:val="20"/>
    </w:rPr>
  </w:style>
  <w:style w:type="paragraph" w:styleId="CommentSubject">
    <w:name w:val="annotation subject"/>
    <w:basedOn w:val="CommentText"/>
    <w:next w:val="CommentText"/>
    <w:link w:val="CommentSubjectChar"/>
    <w:uiPriority w:val="99"/>
    <w:semiHidden/>
    <w:unhideWhenUsed/>
    <w:rsid w:val="00DB30B5"/>
    <w:rPr>
      <w:b/>
      <w:bCs/>
    </w:rPr>
  </w:style>
  <w:style w:type="character" w:customStyle="1" w:styleId="CommentSubjectChar">
    <w:name w:val="Comment Subject Char"/>
    <w:basedOn w:val="CommentTextChar"/>
    <w:link w:val="CommentSubject"/>
    <w:uiPriority w:val="99"/>
    <w:semiHidden/>
    <w:rsid w:val="00DB30B5"/>
    <w:rPr>
      <w:b/>
      <w:bCs/>
      <w:sz w:val="20"/>
      <w:szCs w:val="20"/>
    </w:rPr>
  </w:style>
  <w:style w:type="paragraph" w:styleId="Header">
    <w:name w:val="header"/>
    <w:basedOn w:val="Normal"/>
    <w:link w:val="HeaderChar"/>
    <w:uiPriority w:val="99"/>
    <w:unhideWhenUsed/>
    <w:rsid w:val="00FC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6B"/>
  </w:style>
  <w:style w:type="paragraph" w:styleId="Footer">
    <w:name w:val="footer"/>
    <w:basedOn w:val="Normal"/>
    <w:link w:val="FooterChar"/>
    <w:uiPriority w:val="99"/>
    <w:unhideWhenUsed/>
    <w:rsid w:val="00FC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6B"/>
  </w:style>
  <w:style w:type="table" w:styleId="LightList-Accent5">
    <w:name w:val="Light List Accent 5"/>
    <w:basedOn w:val="TableNormal"/>
    <w:uiPriority w:val="61"/>
    <w:rsid w:val="003755E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CD1E72"/>
    <w:rPr>
      <w:color w:val="800080" w:themeColor="followedHyperlink"/>
      <w:u w:val="single"/>
    </w:rPr>
  </w:style>
  <w:style w:type="paragraph" w:customStyle="1" w:styleId="Default">
    <w:name w:val="Default"/>
    <w:rsid w:val="00F16CBB"/>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F16C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6CBB"/>
    <w:rPr>
      <w:sz w:val="20"/>
      <w:szCs w:val="20"/>
    </w:rPr>
  </w:style>
  <w:style w:type="character" w:styleId="EndnoteReference">
    <w:name w:val="endnote reference"/>
    <w:basedOn w:val="DefaultParagraphFont"/>
    <w:uiPriority w:val="99"/>
    <w:semiHidden/>
    <w:unhideWhenUsed/>
    <w:rsid w:val="00F16CBB"/>
    <w:rPr>
      <w:vertAlign w:val="superscript"/>
    </w:rPr>
  </w:style>
  <w:style w:type="paragraph" w:styleId="FootnoteText">
    <w:name w:val="footnote text"/>
    <w:basedOn w:val="Normal"/>
    <w:link w:val="FootnoteTextChar"/>
    <w:uiPriority w:val="99"/>
    <w:semiHidden/>
    <w:unhideWhenUsed/>
    <w:rsid w:val="00F16C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CBB"/>
    <w:rPr>
      <w:sz w:val="20"/>
      <w:szCs w:val="20"/>
    </w:rPr>
  </w:style>
  <w:style w:type="character" w:styleId="FootnoteReference">
    <w:name w:val="footnote reference"/>
    <w:basedOn w:val="DefaultParagraphFont"/>
    <w:uiPriority w:val="99"/>
    <w:semiHidden/>
    <w:unhideWhenUsed/>
    <w:rsid w:val="00F16CBB"/>
    <w:rPr>
      <w:vertAlign w:val="superscript"/>
    </w:rPr>
  </w:style>
  <w:style w:type="character" w:customStyle="1" w:styleId="UnresolvedMention1">
    <w:name w:val="Unresolved Mention1"/>
    <w:basedOn w:val="DefaultParagraphFont"/>
    <w:uiPriority w:val="99"/>
    <w:semiHidden/>
    <w:unhideWhenUsed/>
    <w:rsid w:val="00F35B1B"/>
    <w:rPr>
      <w:color w:val="605E5C"/>
      <w:shd w:val="clear" w:color="auto" w:fill="E1DFDD"/>
    </w:rPr>
  </w:style>
  <w:style w:type="paragraph" w:styleId="NormalWeb">
    <w:name w:val="Normal (Web)"/>
    <w:basedOn w:val="Normal"/>
    <w:uiPriority w:val="99"/>
    <w:unhideWhenUsed/>
    <w:rsid w:val="00773D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E5375B"/>
  </w:style>
  <w:style w:type="table" w:styleId="TableGrid">
    <w:name w:val="Table Grid"/>
    <w:basedOn w:val="TableNormal"/>
    <w:uiPriority w:val="59"/>
    <w:rsid w:val="00E5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0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3416">
      <w:bodyDiv w:val="1"/>
      <w:marLeft w:val="0"/>
      <w:marRight w:val="0"/>
      <w:marTop w:val="0"/>
      <w:marBottom w:val="0"/>
      <w:divBdr>
        <w:top w:val="none" w:sz="0" w:space="0" w:color="auto"/>
        <w:left w:val="none" w:sz="0" w:space="0" w:color="auto"/>
        <w:bottom w:val="none" w:sz="0" w:space="0" w:color="auto"/>
        <w:right w:val="none" w:sz="0" w:space="0" w:color="auto"/>
      </w:divBdr>
    </w:div>
    <w:div w:id="174687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noramictrial.org/" TargetMode="External"/><Relationship Id="rId13" Type="http://schemas.openxmlformats.org/officeDocument/2006/relationships/hyperlink" Target="https://www.nice.org.uk/guidance/ta87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onavirus-yellowcard.mhra.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higher-risk-patients-eligible-for-covid-19-treatments-independent-advisory-group-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nice.org.uk/guidance/ng191"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vid19-druginteractions.org/" TargetMode="External"/><Relationship Id="rId14" Type="http://schemas.openxmlformats.org/officeDocument/2006/relationships/hyperlink" Target="https://www.england.nhs.uk/publication/interim-clinical-commissioning-policy-remdesivir-and-molnupiravir-for-non-hospitalised-patients-with-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36B84-6892-412E-B5AD-03133F20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Catherine</dc:creator>
  <cp:keywords/>
  <dc:description/>
  <cp:lastModifiedBy>GUDKA, Vikesh (UNIVERSITY HOSPITALS SUSSEX NHS FOUNDATION TRUST)</cp:lastModifiedBy>
  <cp:revision>8</cp:revision>
  <dcterms:created xsi:type="dcterms:W3CDTF">2023-06-14T12:07:00Z</dcterms:created>
  <dcterms:modified xsi:type="dcterms:W3CDTF">2023-06-20T14:53:00Z</dcterms:modified>
</cp:coreProperties>
</file>