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5D71C" w14:textId="77777777" w:rsidR="006C3AF0" w:rsidRPr="00632826" w:rsidRDefault="00E5375B" w:rsidP="006B3CF8">
      <w:pPr>
        <w:spacing w:before="120"/>
        <w:jc w:val="right"/>
        <w:rPr>
          <w:rFonts w:asciiTheme="minorHAnsi" w:hAnsiTheme="minorHAnsi" w:cstheme="minorHAnsi"/>
        </w:rPr>
      </w:pPr>
      <w:r w:rsidRPr="00632826">
        <w:rPr>
          <w:rFonts w:asciiTheme="minorHAnsi" w:hAnsiTheme="minorHAnsi" w:cstheme="minorHAnsi"/>
          <w:noProof/>
        </w:rPr>
        <w:drawing>
          <wp:inline distT="0" distB="0" distL="0" distR="0" wp14:anchorId="240C8CA3" wp14:editId="107C0490">
            <wp:extent cx="2665810" cy="7461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t="20363" r="8559" b="17532"/>
                    <a:stretch>
                      <a:fillRect/>
                    </a:stretch>
                  </pic:blipFill>
                  <pic:spPr bwMode="auto">
                    <a:xfrm>
                      <a:off x="0" y="0"/>
                      <a:ext cx="2681263" cy="750475"/>
                    </a:xfrm>
                    <a:prstGeom prst="rect">
                      <a:avLst/>
                    </a:prstGeom>
                    <a:noFill/>
                    <a:ln>
                      <a:noFill/>
                    </a:ln>
                  </pic:spPr>
                </pic:pic>
              </a:graphicData>
            </a:graphic>
          </wp:inline>
        </w:drawing>
      </w:r>
    </w:p>
    <w:p w14:paraId="211A4728" w14:textId="52D66445" w:rsidR="00A94403" w:rsidRPr="00E73228" w:rsidRDefault="00895C96" w:rsidP="00895C96">
      <w:pPr>
        <w:pStyle w:val="Heading1"/>
        <w:spacing w:before="120" w:line="240" w:lineRule="auto"/>
        <w:jc w:val="center"/>
        <w:rPr>
          <w:rFonts w:asciiTheme="minorHAnsi" w:hAnsiTheme="minorHAnsi" w:cstheme="minorHAnsi"/>
          <w:color w:val="auto"/>
          <w:sz w:val="26"/>
          <w:szCs w:val="26"/>
        </w:rPr>
      </w:pPr>
      <w:r w:rsidRPr="00E73228">
        <w:rPr>
          <w:rFonts w:asciiTheme="minorHAnsi" w:hAnsiTheme="minorHAnsi" w:cstheme="minorHAnsi"/>
          <w:color w:val="auto"/>
          <w:sz w:val="26"/>
          <w:szCs w:val="26"/>
        </w:rPr>
        <w:t xml:space="preserve">Guideline for the treatment of </w:t>
      </w:r>
      <w:r w:rsidRPr="00E73228">
        <w:rPr>
          <w:rStyle w:val="markedcontent"/>
          <w:rFonts w:asciiTheme="minorHAnsi" w:hAnsiTheme="minorHAnsi" w:cstheme="minorHAnsi"/>
          <w:color w:val="auto"/>
          <w:sz w:val="26"/>
          <w:szCs w:val="26"/>
        </w:rPr>
        <w:t>hospitalised adult patients</w:t>
      </w:r>
      <w:r w:rsidRPr="00E73228">
        <w:rPr>
          <w:rFonts w:asciiTheme="minorHAnsi" w:hAnsiTheme="minorHAnsi" w:cstheme="minorHAnsi"/>
          <w:color w:val="auto"/>
          <w:sz w:val="26"/>
          <w:szCs w:val="26"/>
        </w:rPr>
        <w:t xml:space="preserve"> with COVID-19</w:t>
      </w:r>
      <w:r w:rsidRPr="00E73228">
        <w:rPr>
          <w:rStyle w:val="markedcontent"/>
          <w:rFonts w:asciiTheme="minorHAnsi" w:hAnsiTheme="minorHAnsi" w:cstheme="minorHAnsi"/>
          <w:color w:val="auto"/>
          <w:sz w:val="26"/>
          <w:szCs w:val="26"/>
        </w:rPr>
        <w:t xml:space="preserve"> not on oxygen (Group 2)</w:t>
      </w:r>
    </w:p>
    <w:tbl>
      <w:tblPr>
        <w:tblW w:w="924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21"/>
        <w:gridCol w:w="4621"/>
      </w:tblGrid>
      <w:tr w:rsidR="001D1CCC" w:rsidRPr="000143A5" w14:paraId="3C85BDA5" w14:textId="77777777" w:rsidTr="008416AE">
        <w:trPr>
          <w:jc w:val="center"/>
        </w:trPr>
        <w:tc>
          <w:tcPr>
            <w:tcW w:w="4621" w:type="dxa"/>
          </w:tcPr>
          <w:p w14:paraId="08289849" w14:textId="77777777" w:rsidR="001D1CCC" w:rsidRPr="000143A5" w:rsidRDefault="001D1CCC" w:rsidP="006B3CF8">
            <w:pPr>
              <w:overflowPunct w:val="0"/>
              <w:autoSpaceDE w:val="0"/>
              <w:autoSpaceDN w:val="0"/>
              <w:adjustRightInd w:val="0"/>
              <w:textAlignment w:val="baseline"/>
              <w:rPr>
                <w:rFonts w:asciiTheme="minorHAnsi" w:hAnsiTheme="minorHAnsi" w:cstheme="minorHAnsi"/>
                <w:sz w:val="22"/>
                <w:szCs w:val="22"/>
              </w:rPr>
            </w:pPr>
            <w:r w:rsidRPr="000143A5">
              <w:rPr>
                <w:rFonts w:asciiTheme="minorHAnsi" w:hAnsiTheme="minorHAnsi" w:cstheme="minorHAnsi"/>
                <w:sz w:val="22"/>
                <w:szCs w:val="22"/>
              </w:rPr>
              <w:t xml:space="preserve">Version: </w:t>
            </w:r>
          </w:p>
        </w:tc>
        <w:tc>
          <w:tcPr>
            <w:tcW w:w="4621" w:type="dxa"/>
          </w:tcPr>
          <w:p w14:paraId="1866D854" w14:textId="1B1C6BA8" w:rsidR="001D1CCC" w:rsidRPr="000143A5" w:rsidRDefault="000143A5"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8</w:t>
            </w:r>
            <w:r w:rsidR="00CD1E72" w:rsidRPr="005C5C72">
              <w:rPr>
                <w:rFonts w:asciiTheme="minorHAnsi" w:hAnsiTheme="minorHAnsi" w:cstheme="minorHAnsi"/>
                <w:sz w:val="22"/>
                <w:szCs w:val="22"/>
              </w:rPr>
              <w:t>.</w:t>
            </w:r>
            <w:r w:rsidR="0044455D" w:rsidRPr="005C5C72">
              <w:rPr>
                <w:rFonts w:asciiTheme="minorHAnsi" w:hAnsiTheme="minorHAnsi" w:cstheme="minorHAnsi"/>
                <w:sz w:val="22"/>
                <w:szCs w:val="22"/>
              </w:rPr>
              <w:t>1</w:t>
            </w:r>
          </w:p>
        </w:tc>
      </w:tr>
      <w:tr w:rsidR="001D1CCC" w:rsidRPr="000143A5" w14:paraId="116849E1" w14:textId="77777777" w:rsidTr="008416AE">
        <w:trPr>
          <w:jc w:val="center"/>
        </w:trPr>
        <w:tc>
          <w:tcPr>
            <w:tcW w:w="4621" w:type="dxa"/>
          </w:tcPr>
          <w:p w14:paraId="71C94672" w14:textId="77777777" w:rsidR="001D1CCC" w:rsidRPr="000143A5" w:rsidRDefault="001D1CCC" w:rsidP="006B3CF8">
            <w:pPr>
              <w:overflowPunct w:val="0"/>
              <w:autoSpaceDE w:val="0"/>
              <w:autoSpaceDN w:val="0"/>
              <w:adjustRightInd w:val="0"/>
              <w:textAlignment w:val="baseline"/>
              <w:rPr>
                <w:rFonts w:asciiTheme="minorHAnsi" w:hAnsiTheme="minorHAnsi" w:cstheme="minorHAnsi"/>
                <w:sz w:val="22"/>
                <w:szCs w:val="22"/>
              </w:rPr>
            </w:pPr>
            <w:r w:rsidRPr="000143A5">
              <w:rPr>
                <w:rFonts w:asciiTheme="minorHAnsi" w:hAnsiTheme="minorHAnsi" w:cstheme="minorHAnsi"/>
                <w:sz w:val="22"/>
                <w:szCs w:val="22"/>
              </w:rPr>
              <w:t>Approved by:</w:t>
            </w:r>
          </w:p>
        </w:tc>
        <w:tc>
          <w:tcPr>
            <w:tcW w:w="4621" w:type="dxa"/>
          </w:tcPr>
          <w:p w14:paraId="51A065A5" w14:textId="24CB3B90" w:rsidR="001D1CCC" w:rsidRPr="000143A5" w:rsidRDefault="00350FA8" w:rsidP="001125B7">
            <w:pPr>
              <w:rPr>
                <w:rFonts w:asciiTheme="minorHAnsi" w:hAnsiTheme="minorHAnsi" w:cstheme="minorHAnsi"/>
                <w:sz w:val="22"/>
                <w:szCs w:val="22"/>
              </w:rPr>
            </w:pPr>
            <w:r w:rsidRPr="000143A5">
              <w:rPr>
                <w:rFonts w:asciiTheme="minorHAnsi" w:hAnsiTheme="minorHAnsi" w:cstheme="minorHAnsi"/>
                <w:sz w:val="22"/>
                <w:szCs w:val="22"/>
              </w:rPr>
              <w:t>Clinical Advisory Group</w:t>
            </w:r>
            <w:r w:rsidR="001125B7" w:rsidRPr="000143A5">
              <w:rPr>
                <w:rFonts w:asciiTheme="minorHAnsi" w:hAnsiTheme="minorHAnsi" w:cstheme="minorHAnsi"/>
                <w:sz w:val="22"/>
                <w:szCs w:val="22"/>
              </w:rPr>
              <w:t xml:space="preserve"> and </w:t>
            </w:r>
            <w:r w:rsidR="001125B7" w:rsidRPr="000143A5">
              <w:rPr>
                <w:rFonts w:asciiTheme="minorHAnsi" w:hAnsiTheme="minorHAnsi" w:cstheme="minorHAnsi"/>
                <w:bCs/>
                <w:color w:val="000000"/>
                <w:sz w:val="22"/>
                <w:szCs w:val="22"/>
                <w:bdr w:val="none" w:sz="0" w:space="0" w:color="auto" w:frame="1"/>
              </w:rPr>
              <w:t>Medicines Governance Committee</w:t>
            </w:r>
          </w:p>
        </w:tc>
      </w:tr>
      <w:tr w:rsidR="001D1CCC" w:rsidRPr="000143A5" w14:paraId="1410214C" w14:textId="77777777" w:rsidTr="008416AE">
        <w:trPr>
          <w:jc w:val="center"/>
        </w:trPr>
        <w:tc>
          <w:tcPr>
            <w:tcW w:w="4621" w:type="dxa"/>
          </w:tcPr>
          <w:p w14:paraId="68E6F588" w14:textId="77777777" w:rsidR="001D1CCC" w:rsidRPr="000143A5" w:rsidRDefault="001D1CCC" w:rsidP="006B3CF8">
            <w:pPr>
              <w:overflowPunct w:val="0"/>
              <w:autoSpaceDE w:val="0"/>
              <w:autoSpaceDN w:val="0"/>
              <w:adjustRightInd w:val="0"/>
              <w:textAlignment w:val="baseline"/>
              <w:rPr>
                <w:rFonts w:asciiTheme="minorHAnsi" w:hAnsiTheme="minorHAnsi" w:cstheme="minorHAnsi"/>
                <w:sz w:val="22"/>
                <w:szCs w:val="22"/>
              </w:rPr>
            </w:pPr>
            <w:r w:rsidRPr="000143A5">
              <w:rPr>
                <w:rFonts w:asciiTheme="minorHAnsi" w:hAnsiTheme="minorHAnsi" w:cstheme="minorHAnsi"/>
                <w:sz w:val="22"/>
                <w:szCs w:val="22"/>
              </w:rPr>
              <w:t xml:space="preserve">Date approved: </w:t>
            </w:r>
          </w:p>
        </w:tc>
        <w:tc>
          <w:tcPr>
            <w:tcW w:w="4621" w:type="dxa"/>
          </w:tcPr>
          <w:p w14:paraId="7F665677" w14:textId="63326D66" w:rsidR="00CD1E72" w:rsidRPr="005C5C72" w:rsidRDefault="000143A5" w:rsidP="000143A5">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5</w:t>
            </w:r>
            <w:r w:rsidR="00256BC2" w:rsidRPr="005C5C72">
              <w:rPr>
                <w:rFonts w:asciiTheme="minorHAnsi" w:hAnsiTheme="minorHAnsi" w:cstheme="minorHAnsi"/>
                <w:sz w:val="22"/>
                <w:szCs w:val="22"/>
                <w:vertAlign w:val="superscript"/>
              </w:rPr>
              <w:t>th</w:t>
            </w:r>
            <w:r w:rsidRPr="005C5C72">
              <w:rPr>
                <w:rFonts w:asciiTheme="minorHAnsi" w:hAnsiTheme="minorHAnsi" w:cstheme="minorHAnsi"/>
                <w:sz w:val="22"/>
                <w:szCs w:val="22"/>
              </w:rPr>
              <w:t xml:space="preserve"> December</w:t>
            </w:r>
            <w:r w:rsidR="002412F5" w:rsidRPr="005C5C72">
              <w:rPr>
                <w:rFonts w:asciiTheme="minorHAnsi" w:hAnsiTheme="minorHAnsi" w:cstheme="minorHAnsi"/>
                <w:sz w:val="22"/>
                <w:szCs w:val="22"/>
              </w:rPr>
              <w:t xml:space="preserve"> </w:t>
            </w:r>
            <w:r w:rsidR="00256BC2" w:rsidRPr="005C5C72">
              <w:rPr>
                <w:rFonts w:asciiTheme="minorHAnsi" w:hAnsiTheme="minorHAnsi" w:cstheme="minorHAnsi"/>
                <w:sz w:val="22"/>
                <w:szCs w:val="22"/>
              </w:rPr>
              <w:t>2022</w:t>
            </w:r>
            <w:r w:rsidR="00E73228" w:rsidRPr="005C5C72">
              <w:rPr>
                <w:rFonts w:asciiTheme="minorHAnsi" w:hAnsiTheme="minorHAnsi" w:cstheme="minorHAnsi"/>
                <w:sz w:val="22"/>
                <w:szCs w:val="22"/>
              </w:rPr>
              <w:t xml:space="preserve"> </w:t>
            </w:r>
          </w:p>
        </w:tc>
      </w:tr>
      <w:tr w:rsidR="001D1CCC" w:rsidRPr="000143A5" w14:paraId="6A4B7592" w14:textId="77777777" w:rsidTr="008416AE">
        <w:trPr>
          <w:jc w:val="center"/>
        </w:trPr>
        <w:tc>
          <w:tcPr>
            <w:tcW w:w="4621" w:type="dxa"/>
          </w:tcPr>
          <w:p w14:paraId="49DA2312" w14:textId="77777777" w:rsidR="001D1CCC" w:rsidRPr="000143A5" w:rsidRDefault="001D1CCC" w:rsidP="006B3CF8">
            <w:pPr>
              <w:overflowPunct w:val="0"/>
              <w:autoSpaceDE w:val="0"/>
              <w:autoSpaceDN w:val="0"/>
              <w:adjustRightInd w:val="0"/>
              <w:textAlignment w:val="baseline"/>
              <w:rPr>
                <w:rFonts w:asciiTheme="minorHAnsi" w:hAnsiTheme="minorHAnsi" w:cstheme="minorHAnsi"/>
                <w:sz w:val="22"/>
                <w:szCs w:val="22"/>
              </w:rPr>
            </w:pPr>
            <w:r w:rsidRPr="000143A5">
              <w:rPr>
                <w:rFonts w:asciiTheme="minorHAnsi" w:hAnsiTheme="minorHAnsi" w:cstheme="minorHAnsi"/>
                <w:sz w:val="22"/>
                <w:szCs w:val="22"/>
              </w:rPr>
              <w:t>Name of author</w:t>
            </w:r>
            <w:r w:rsidR="00350FA8" w:rsidRPr="000143A5">
              <w:rPr>
                <w:rFonts w:asciiTheme="minorHAnsi" w:hAnsiTheme="minorHAnsi" w:cstheme="minorHAnsi"/>
                <w:sz w:val="22"/>
                <w:szCs w:val="22"/>
              </w:rPr>
              <w:t>(s):</w:t>
            </w:r>
          </w:p>
        </w:tc>
        <w:tc>
          <w:tcPr>
            <w:tcW w:w="4621" w:type="dxa"/>
          </w:tcPr>
          <w:p w14:paraId="508047CC" w14:textId="77777777" w:rsidR="00632826" w:rsidRPr="005C5C72" w:rsidRDefault="00E5375B"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Prof Martin Llewelyn</w:t>
            </w:r>
          </w:p>
          <w:p w14:paraId="644F4A47" w14:textId="77777777" w:rsidR="00375196" w:rsidRPr="005C5C72" w:rsidRDefault="00632826"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Dr Bethany Davies</w:t>
            </w:r>
          </w:p>
          <w:p w14:paraId="50E17895" w14:textId="77777777" w:rsidR="00E5375B" w:rsidRPr="005C5C72" w:rsidRDefault="00375196"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 xml:space="preserve">Dr Catherine Sargent </w:t>
            </w:r>
            <w:r w:rsidR="00E5375B" w:rsidRPr="005C5C72">
              <w:rPr>
                <w:rFonts w:asciiTheme="minorHAnsi" w:hAnsiTheme="minorHAnsi" w:cstheme="minorHAnsi"/>
                <w:sz w:val="22"/>
                <w:szCs w:val="22"/>
              </w:rPr>
              <w:t xml:space="preserve"> </w:t>
            </w:r>
          </w:p>
          <w:p w14:paraId="74DBD074" w14:textId="77777777" w:rsidR="008531A9" w:rsidRPr="005C5C72" w:rsidRDefault="008531A9"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Dr Racheol Sierra</w:t>
            </w:r>
          </w:p>
          <w:p w14:paraId="2FD8FAA9" w14:textId="77777777" w:rsidR="00CD1E72" w:rsidRPr="005C5C72" w:rsidRDefault="00E5375B"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Aoife Hendrick</w:t>
            </w:r>
          </w:p>
          <w:p w14:paraId="3214FD70" w14:textId="70A93ADB" w:rsidR="002A6BE5" w:rsidRPr="005C5C72" w:rsidRDefault="002A6BE5"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David Hilbert</w:t>
            </w:r>
            <w:r w:rsidR="00895C96" w:rsidRPr="005C5C72">
              <w:rPr>
                <w:rFonts w:asciiTheme="minorHAnsi" w:hAnsiTheme="minorHAnsi" w:cstheme="minorHAnsi"/>
                <w:sz w:val="22"/>
                <w:szCs w:val="22"/>
              </w:rPr>
              <w:t>, Jo Munns</w:t>
            </w:r>
          </w:p>
        </w:tc>
      </w:tr>
      <w:tr w:rsidR="001D1CCC" w:rsidRPr="000143A5" w14:paraId="7C95A1D3" w14:textId="77777777" w:rsidTr="008416AE">
        <w:trPr>
          <w:jc w:val="center"/>
        </w:trPr>
        <w:tc>
          <w:tcPr>
            <w:tcW w:w="4621" w:type="dxa"/>
          </w:tcPr>
          <w:p w14:paraId="6BEA519B" w14:textId="77777777" w:rsidR="001D1CCC" w:rsidRPr="000143A5" w:rsidRDefault="001D1CCC" w:rsidP="006B3CF8">
            <w:pPr>
              <w:overflowPunct w:val="0"/>
              <w:autoSpaceDE w:val="0"/>
              <w:autoSpaceDN w:val="0"/>
              <w:adjustRightInd w:val="0"/>
              <w:textAlignment w:val="baseline"/>
              <w:rPr>
                <w:rFonts w:asciiTheme="minorHAnsi" w:hAnsiTheme="minorHAnsi" w:cstheme="minorHAnsi"/>
                <w:sz w:val="22"/>
                <w:szCs w:val="22"/>
              </w:rPr>
            </w:pPr>
            <w:r w:rsidRPr="000143A5">
              <w:rPr>
                <w:rFonts w:asciiTheme="minorHAnsi" w:hAnsiTheme="minorHAnsi" w:cstheme="minorHAnsi"/>
                <w:sz w:val="22"/>
                <w:szCs w:val="22"/>
              </w:rPr>
              <w:t xml:space="preserve">Name of </w:t>
            </w:r>
            <w:r w:rsidR="00350FA8" w:rsidRPr="000143A5">
              <w:rPr>
                <w:rFonts w:asciiTheme="minorHAnsi" w:hAnsiTheme="minorHAnsi" w:cstheme="minorHAnsi"/>
                <w:sz w:val="22"/>
                <w:szCs w:val="22"/>
              </w:rPr>
              <w:t>responsible committee</w:t>
            </w:r>
            <w:r w:rsidRPr="000143A5">
              <w:rPr>
                <w:rFonts w:asciiTheme="minorHAnsi" w:hAnsiTheme="minorHAnsi" w:cstheme="minorHAnsi"/>
                <w:sz w:val="22"/>
                <w:szCs w:val="22"/>
              </w:rPr>
              <w:t>:</w:t>
            </w:r>
          </w:p>
        </w:tc>
        <w:tc>
          <w:tcPr>
            <w:tcW w:w="4621" w:type="dxa"/>
          </w:tcPr>
          <w:p w14:paraId="174992E9" w14:textId="65791A0F" w:rsidR="001D1CCC" w:rsidRPr="005C5C72" w:rsidRDefault="00256BC2"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MGC</w:t>
            </w:r>
            <w:r w:rsidR="000143A5" w:rsidRPr="005C5C72">
              <w:rPr>
                <w:rFonts w:asciiTheme="minorHAnsi" w:hAnsiTheme="minorHAnsi" w:cstheme="minorHAnsi"/>
                <w:sz w:val="22"/>
                <w:szCs w:val="22"/>
              </w:rPr>
              <w:t>/CAG</w:t>
            </w:r>
          </w:p>
        </w:tc>
      </w:tr>
      <w:tr w:rsidR="001D1CCC" w:rsidRPr="000143A5" w14:paraId="20FA2AEB" w14:textId="77777777" w:rsidTr="008416AE">
        <w:trPr>
          <w:jc w:val="center"/>
        </w:trPr>
        <w:tc>
          <w:tcPr>
            <w:tcW w:w="4621" w:type="dxa"/>
          </w:tcPr>
          <w:p w14:paraId="136E09CD" w14:textId="77777777" w:rsidR="001D1CCC" w:rsidRPr="000143A5" w:rsidRDefault="001D1CCC" w:rsidP="006B3CF8">
            <w:pPr>
              <w:overflowPunct w:val="0"/>
              <w:autoSpaceDE w:val="0"/>
              <w:autoSpaceDN w:val="0"/>
              <w:adjustRightInd w:val="0"/>
              <w:textAlignment w:val="baseline"/>
              <w:rPr>
                <w:rFonts w:asciiTheme="minorHAnsi" w:hAnsiTheme="minorHAnsi" w:cstheme="minorHAnsi"/>
                <w:sz w:val="22"/>
                <w:szCs w:val="22"/>
              </w:rPr>
            </w:pPr>
            <w:r w:rsidRPr="000143A5">
              <w:rPr>
                <w:rFonts w:asciiTheme="minorHAnsi" w:hAnsiTheme="minorHAnsi" w:cstheme="minorHAnsi"/>
                <w:sz w:val="22"/>
                <w:szCs w:val="22"/>
              </w:rPr>
              <w:t xml:space="preserve">Date issued: </w:t>
            </w:r>
          </w:p>
        </w:tc>
        <w:tc>
          <w:tcPr>
            <w:tcW w:w="4621" w:type="dxa"/>
          </w:tcPr>
          <w:p w14:paraId="7F7AB18B" w14:textId="4CE56159" w:rsidR="00CD1E72" w:rsidRPr="005C5C72" w:rsidRDefault="000143A5"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December</w:t>
            </w:r>
            <w:r w:rsidR="00162FCD" w:rsidRPr="005C5C72" w:rsidDel="00162FCD">
              <w:rPr>
                <w:rFonts w:asciiTheme="minorHAnsi" w:hAnsiTheme="minorHAnsi" w:cstheme="minorHAnsi"/>
                <w:sz w:val="22"/>
                <w:szCs w:val="22"/>
              </w:rPr>
              <w:t xml:space="preserve"> </w:t>
            </w:r>
            <w:r w:rsidR="00E5375B" w:rsidRPr="005C5C72">
              <w:rPr>
                <w:rFonts w:asciiTheme="minorHAnsi" w:hAnsiTheme="minorHAnsi" w:cstheme="minorHAnsi"/>
                <w:sz w:val="22"/>
                <w:szCs w:val="22"/>
              </w:rPr>
              <w:t>202</w:t>
            </w:r>
            <w:r w:rsidR="00B225B4" w:rsidRPr="005C5C72">
              <w:rPr>
                <w:rFonts w:asciiTheme="minorHAnsi" w:hAnsiTheme="minorHAnsi" w:cstheme="minorHAnsi"/>
                <w:sz w:val="22"/>
                <w:szCs w:val="22"/>
              </w:rPr>
              <w:t>2</w:t>
            </w:r>
          </w:p>
        </w:tc>
      </w:tr>
      <w:tr w:rsidR="001D1CCC" w:rsidRPr="000143A5" w14:paraId="022418D2" w14:textId="77777777" w:rsidTr="008416AE">
        <w:trPr>
          <w:jc w:val="center"/>
        </w:trPr>
        <w:tc>
          <w:tcPr>
            <w:tcW w:w="4621" w:type="dxa"/>
          </w:tcPr>
          <w:p w14:paraId="384D31F1" w14:textId="77777777" w:rsidR="001D1CCC" w:rsidRPr="000143A5" w:rsidRDefault="001D1CCC" w:rsidP="006B3CF8">
            <w:pPr>
              <w:overflowPunct w:val="0"/>
              <w:autoSpaceDE w:val="0"/>
              <w:autoSpaceDN w:val="0"/>
              <w:adjustRightInd w:val="0"/>
              <w:textAlignment w:val="baseline"/>
              <w:rPr>
                <w:rFonts w:asciiTheme="minorHAnsi" w:hAnsiTheme="minorHAnsi" w:cstheme="minorHAnsi"/>
                <w:sz w:val="22"/>
                <w:szCs w:val="22"/>
              </w:rPr>
            </w:pPr>
            <w:r w:rsidRPr="000143A5">
              <w:rPr>
                <w:rFonts w:asciiTheme="minorHAnsi" w:hAnsiTheme="minorHAnsi" w:cstheme="minorHAnsi"/>
                <w:sz w:val="22"/>
                <w:szCs w:val="22"/>
              </w:rPr>
              <w:t>Review date:</w:t>
            </w:r>
          </w:p>
        </w:tc>
        <w:tc>
          <w:tcPr>
            <w:tcW w:w="4621" w:type="dxa"/>
          </w:tcPr>
          <w:p w14:paraId="0481C9B7" w14:textId="7B03C372" w:rsidR="001D1CCC" w:rsidRPr="005C5C72" w:rsidRDefault="000143A5" w:rsidP="006B3CF8">
            <w:pPr>
              <w:overflowPunct w:val="0"/>
              <w:autoSpaceDE w:val="0"/>
              <w:autoSpaceDN w:val="0"/>
              <w:adjustRightInd w:val="0"/>
              <w:textAlignment w:val="baseline"/>
              <w:rPr>
                <w:rFonts w:asciiTheme="minorHAnsi" w:hAnsiTheme="minorHAnsi" w:cstheme="minorHAnsi"/>
                <w:sz w:val="22"/>
                <w:szCs w:val="22"/>
              </w:rPr>
            </w:pPr>
            <w:r w:rsidRPr="005C5C72">
              <w:rPr>
                <w:rFonts w:asciiTheme="minorHAnsi" w:hAnsiTheme="minorHAnsi" w:cstheme="minorHAnsi"/>
                <w:sz w:val="22"/>
                <w:szCs w:val="22"/>
              </w:rPr>
              <w:t>December</w:t>
            </w:r>
            <w:r w:rsidR="00D004FA" w:rsidRPr="005C5C72">
              <w:rPr>
                <w:rFonts w:asciiTheme="minorHAnsi" w:hAnsiTheme="minorHAnsi" w:cstheme="minorHAnsi"/>
                <w:sz w:val="22"/>
                <w:szCs w:val="22"/>
              </w:rPr>
              <w:t xml:space="preserve"> </w:t>
            </w:r>
            <w:r w:rsidR="00E5375B" w:rsidRPr="005C5C72">
              <w:rPr>
                <w:rFonts w:asciiTheme="minorHAnsi" w:hAnsiTheme="minorHAnsi" w:cstheme="minorHAnsi"/>
                <w:sz w:val="22"/>
                <w:szCs w:val="22"/>
              </w:rPr>
              <w:t>202</w:t>
            </w:r>
            <w:r w:rsidR="00B225B4" w:rsidRPr="005C5C72">
              <w:rPr>
                <w:rFonts w:asciiTheme="minorHAnsi" w:hAnsiTheme="minorHAnsi" w:cstheme="minorHAnsi"/>
                <w:sz w:val="22"/>
                <w:szCs w:val="22"/>
              </w:rPr>
              <w:t>3</w:t>
            </w:r>
            <w:r w:rsidR="00E5375B" w:rsidRPr="005C5C72">
              <w:rPr>
                <w:rFonts w:asciiTheme="minorHAnsi" w:hAnsiTheme="minorHAnsi" w:cstheme="minorHAnsi"/>
                <w:sz w:val="22"/>
                <w:szCs w:val="22"/>
              </w:rPr>
              <w:t xml:space="preserve"> or sooner if clinical information changes</w:t>
            </w:r>
          </w:p>
        </w:tc>
      </w:tr>
      <w:tr w:rsidR="001D1CCC" w:rsidRPr="000143A5" w14:paraId="7965B289" w14:textId="77777777" w:rsidTr="008416AE">
        <w:trPr>
          <w:jc w:val="center"/>
        </w:trPr>
        <w:tc>
          <w:tcPr>
            <w:tcW w:w="4621" w:type="dxa"/>
          </w:tcPr>
          <w:p w14:paraId="3DD8F1A1" w14:textId="77777777" w:rsidR="001D1CCC" w:rsidRPr="000143A5" w:rsidRDefault="001D1CCC" w:rsidP="006B3CF8">
            <w:pPr>
              <w:overflowPunct w:val="0"/>
              <w:autoSpaceDE w:val="0"/>
              <w:autoSpaceDN w:val="0"/>
              <w:adjustRightInd w:val="0"/>
              <w:textAlignment w:val="baseline"/>
              <w:rPr>
                <w:rFonts w:asciiTheme="minorHAnsi" w:hAnsiTheme="minorHAnsi" w:cstheme="minorHAnsi"/>
                <w:sz w:val="22"/>
                <w:szCs w:val="22"/>
              </w:rPr>
            </w:pPr>
            <w:r w:rsidRPr="000143A5">
              <w:rPr>
                <w:rFonts w:asciiTheme="minorHAnsi" w:hAnsiTheme="minorHAnsi" w:cstheme="minorHAnsi"/>
                <w:sz w:val="22"/>
                <w:szCs w:val="22"/>
              </w:rPr>
              <w:t>Target audience:</w:t>
            </w:r>
          </w:p>
        </w:tc>
        <w:tc>
          <w:tcPr>
            <w:tcW w:w="4621" w:type="dxa"/>
          </w:tcPr>
          <w:p w14:paraId="46BA6FF4" w14:textId="77777777" w:rsidR="001D1CCC" w:rsidRPr="000143A5" w:rsidRDefault="00E5375B" w:rsidP="006B3CF8">
            <w:pPr>
              <w:overflowPunct w:val="0"/>
              <w:autoSpaceDE w:val="0"/>
              <w:autoSpaceDN w:val="0"/>
              <w:adjustRightInd w:val="0"/>
              <w:textAlignment w:val="baseline"/>
              <w:rPr>
                <w:rFonts w:asciiTheme="minorHAnsi" w:hAnsiTheme="minorHAnsi" w:cstheme="minorHAnsi"/>
                <w:sz w:val="22"/>
                <w:szCs w:val="22"/>
              </w:rPr>
            </w:pPr>
            <w:r w:rsidRPr="000143A5">
              <w:rPr>
                <w:rFonts w:asciiTheme="minorHAnsi" w:hAnsiTheme="minorHAnsi" w:cstheme="minorHAnsi"/>
                <w:sz w:val="22"/>
                <w:szCs w:val="22"/>
              </w:rPr>
              <w:t>Health care professionals (nurses/doctors/pharmacists)</w:t>
            </w:r>
          </w:p>
        </w:tc>
      </w:tr>
    </w:tbl>
    <w:p w14:paraId="2536BD6A" w14:textId="52690818" w:rsidR="00350FA8" w:rsidRPr="000143A5" w:rsidRDefault="00D004FA" w:rsidP="006B3CF8">
      <w:pPr>
        <w:spacing w:before="120"/>
        <w:rPr>
          <w:rFonts w:asciiTheme="minorHAnsi" w:hAnsiTheme="minorHAnsi" w:cstheme="minorHAnsi"/>
          <w:b/>
          <w:sz w:val="22"/>
          <w:szCs w:val="22"/>
          <w:u w:val="single"/>
        </w:rPr>
      </w:pPr>
      <w:r w:rsidRPr="000143A5">
        <w:rPr>
          <w:rFonts w:asciiTheme="minorHAnsi" w:hAnsiTheme="minorHAnsi" w:cstheme="minorHAnsi"/>
          <w:b/>
          <w:sz w:val="22"/>
          <w:szCs w:val="22"/>
          <w:u w:val="single"/>
        </w:rPr>
        <w:t>Scope</w:t>
      </w:r>
    </w:p>
    <w:p w14:paraId="400D4966" w14:textId="6A1981C8" w:rsidR="00E5375B" w:rsidRPr="005C5C72" w:rsidRDefault="00E5375B" w:rsidP="006B3CF8">
      <w:pPr>
        <w:spacing w:before="120"/>
        <w:rPr>
          <w:rFonts w:asciiTheme="minorHAnsi" w:hAnsiTheme="minorHAnsi" w:cstheme="minorHAnsi"/>
          <w:sz w:val="22"/>
          <w:szCs w:val="22"/>
        </w:rPr>
      </w:pPr>
      <w:r w:rsidRPr="000143A5">
        <w:rPr>
          <w:rFonts w:asciiTheme="minorHAnsi" w:hAnsiTheme="minorHAnsi" w:cstheme="minorHAnsi"/>
          <w:sz w:val="22"/>
          <w:szCs w:val="22"/>
        </w:rPr>
        <w:t xml:space="preserve">This document provides guidance for healthcare professionals using </w:t>
      </w:r>
      <w:r w:rsidR="00D004FA" w:rsidRPr="000143A5">
        <w:rPr>
          <w:rFonts w:asciiTheme="minorHAnsi" w:hAnsiTheme="minorHAnsi" w:cstheme="minorHAnsi"/>
          <w:sz w:val="22"/>
          <w:szCs w:val="22"/>
        </w:rPr>
        <w:t xml:space="preserve">antivirals or </w:t>
      </w:r>
      <w:r w:rsidR="00162FCD" w:rsidRPr="000143A5">
        <w:rPr>
          <w:rFonts w:asciiTheme="minorHAnsi" w:hAnsiTheme="minorHAnsi" w:cstheme="minorHAnsi"/>
          <w:sz w:val="22"/>
          <w:szCs w:val="22"/>
        </w:rPr>
        <w:t xml:space="preserve">neutralising monoclonal antibodies (nMAbs) </w:t>
      </w:r>
      <w:r w:rsidRPr="000143A5">
        <w:rPr>
          <w:rStyle w:val="markedcontent"/>
          <w:rFonts w:asciiTheme="minorHAnsi" w:hAnsiTheme="minorHAnsi" w:cstheme="minorHAnsi"/>
          <w:sz w:val="22"/>
          <w:szCs w:val="22"/>
        </w:rPr>
        <w:t xml:space="preserve">for </w:t>
      </w:r>
      <w:r w:rsidR="00D004FA" w:rsidRPr="000143A5">
        <w:rPr>
          <w:rStyle w:val="markedcontent"/>
          <w:rFonts w:asciiTheme="minorHAnsi" w:hAnsiTheme="minorHAnsi" w:cstheme="minorHAnsi"/>
          <w:sz w:val="22"/>
          <w:szCs w:val="22"/>
        </w:rPr>
        <w:t>the treatment of COVID-19 in hospitalised patients.</w:t>
      </w:r>
      <w:r w:rsidRPr="000143A5">
        <w:rPr>
          <w:rFonts w:asciiTheme="minorHAnsi" w:hAnsiTheme="minorHAnsi" w:cstheme="minorHAnsi"/>
          <w:sz w:val="22"/>
          <w:szCs w:val="22"/>
        </w:rPr>
        <w:t xml:space="preserve"> It follows recommendations from the CMO alert </w:t>
      </w:r>
      <w:hyperlink r:id="rId12" w:history="1">
        <w:r w:rsidR="00E73B6D" w:rsidRPr="005C5C72">
          <w:rPr>
            <w:rStyle w:val="Hyperlink"/>
            <w:rFonts w:asciiTheme="minorHAnsi" w:hAnsiTheme="minorHAnsi" w:cstheme="minorHAnsi"/>
            <w:sz w:val="22"/>
            <w:szCs w:val="22"/>
          </w:rPr>
          <w:t>CEM/CMO/202</w:t>
        </w:r>
        <w:r w:rsidR="00D004FA" w:rsidRPr="005C5C72">
          <w:rPr>
            <w:rStyle w:val="Hyperlink"/>
            <w:rFonts w:asciiTheme="minorHAnsi" w:hAnsiTheme="minorHAnsi" w:cstheme="minorHAnsi"/>
            <w:sz w:val="22"/>
            <w:szCs w:val="22"/>
          </w:rPr>
          <w:t>2</w:t>
        </w:r>
        <w:r w:rsidR="00E73B6D" w:rsidRPr="005C5C72">
          <w:rPr>
            <w:rStyle w:val="Hyperlink"/>
            <w:rFonts w:asciiTheme="minorHAnsi" w:hAnsiTheme="minorHAnsi" w:cstheme="minorHAnsi"/>
            <w:sz w:val="22"/>
            <w:szCs w:val="22"/>
          </w:rPr>
          <w:t>/0</w:t>
        </w:r>
        <w:r w:rsidR="000143A5" w:rsidRPr="005C5C72">
          <w:rPr>
            <w:rStyle w:val="Hyperlink"/>
            <w:rFonts w:asciiTheme="minorHAnsi" w:hAnsiTheme="minorHAnsi" w:cstheme="minorHAnsi"/>
            <w:sz w:val="22"/>
            <w:szCs w:val="22"/>
          </w:rPr>
          <w:t>15</w:t>
        </w:r>
      </w:hyperlink>
      <w:r w:rsidR="00E73B6D" w:rsidRPr="005C5C72">
        <w:rPr>
          <w:rFonts w:asciiTheme="minorHAnsi" w:hAnsiTheme="minorHAnsi" w:cstheme="minorHAnsi"/>
          <w:sz w:val="22"/>
          <w:szCs w:val="22"/>
        </w:rPr>
        <w:t xml:space="preserve"> dated </w:t>
      </w:r>
      <w:r w:rsidR="000143A5" w:rsidRPr="005C5C72">
        <w:rPr>
          <w:rFonts w:asciiTheme="minorHAnsi" w:hAnsiTheme="minorHAnsi" w:cstheme="minorHAnsi"/>
          <w:sz w:val="22"/>
          <w:szCs w:val="22"/>
        </w:rPr>
        <w:t>28</w:t>
      </w:r>
      <w:r w:rsidRPr="005C5C72">
        <w:rPr>
          <w:rFonts w:asciiTheme="minorHAnsi" w:hAnsiTheme="minorHAnsi" w:cstheme="minorHAnsi"/>
          <w:sz w:val="22"/>
          <w:szCs w:val="22"/>
          <w:vertAlign w:val="superscript"/>
        </w:rPr>
        <w:t>th</w:t>
      </w:r>
      <w:r w:rsidR="00E73B6D" w:rsidRPr="005C5C72">
        <w:rPr>
          <w:rFonts w:asciiTheme="minorHAnsi" w:hAnsiTheme="minorHAnsi" w:cstheme="minorHAnsi"/>
          <w:sz w:val="22"/>
          <w:szCs w:val="22"/>
        </w:rPr>
        <w:t xml:space="preserve"> </w:t>
      </w:r>
      <w:r w:rsidR="000143A5" w:rsidRPr="005C5C72">
        <w:rPr>
          <w:rFonts w:asciiTheme="minorHAnsi" w:hAnsiTheme="minorHAnsi" w:cstheme="minorHAnsi"/>
          <w:sz w:val="22"/>
          <w:szCs w:val="22"/>
        </w:rPr>
        <w:t>November</w:t>
      </w:r>
      <w:r w:rsidR="00D004FA" w:rsidRPr="005C5C72">
        <w:rPr>
          <w:rFonts w:asciiTheme="minorHAnsi" w:hAnsiTheme="minorHAnsi" w:cstheme="minorHAnsi"/>
          <w:sz w:val="22"/>
          <w:szCs w:val="22"/>
        </w:rPr>
        <w:t xml:space="preserve"> 2022</w:t>
      </w:r>
      <w:r w:rsidRPr="005C5C72">
        <w:rPr>
          <w:rFonts w:asciiTheme="minorHAnsi" w:hAnsiTheme="minorHAnsi" w:cstheme="minorHAnsi"/>
          <w:sz w:val="22"/>
          <w:szCs w:val="22"/>
        </w:rPr>
        <w:t>.</w:t>
      </w:r>
    </w:p>
    <w:p w14:paraId="6F94C4EC" w14:textId="77777777" w:rsidR="000143A5" w:rsidRPr="005C5C72" w:rsidRDefault="000143A5" w:rsidP="006B3CF8">
      <w:pPr>
        <w:spacing w:before="120"/>
        <w:rPr>
          <w:rFonts w:asciiTheme="minorHAnsi" w:hAnsiTheme="minorHAnsi" w:cstheme="minorHAnsi"/>
          <w:sz w:val="22"/>
          <w:szCs w:val="22"/>
        </w:rPr>
      </w:pPr>
    </w:p>
    <w:p w14:paraId="3D588405" w14:textId="59D501CF" w:rsidR="000143A5" w:rsidRPr="005C5C72" w:rsidRDefault="000143A5" w:rsidP="000143A5">
      <w:pPr>
        <w:rPr>
          <w:rFonts w:asciiTheme="minorHAnsi" w:hAnsiTheme="minorHAnsi" w:cstheme="minorHAnsi"/>
          <w:sz w:val="22"/>
          <w:szCs w:val="22"/>
        </w:rPr>
      </w:pPr>
      <w:r w:rsidRPr="005C5C72">
        <w:rPr>
          <w:rFonts w:asciiTheme="minorHAnsi" w:hAnsiTheme="minorHAnsi" w:cstheme="minorHAnsi"/>
          <w:sz w:val="22"/>
          <w:szCs w:val="22"/>
        </w:rPr>
        <w:t xml:space="preserve">The World Health Organization (WHO) updated its </w:t>
      </w:r>
      <w:hyperlink r:id="rId13" w:history="1">
        <w:r w:rsidRPr="005C5C72">
          <w:rPr>
            <w:rStyle w:val="Hyperlink"/>
            <w:rFonts w:asciiTheme="minorHAnsi" w:hAnsiTheme="minorHAnsi" w:cstheme="minorHAnsi"/>
            <w:sz w:val="22"/>
            <w:szCs w:val="22"/>
          </w:rPr>
          <w:t>’Therapeutics and COVID-19: Living guideline’</w:t>
        </w:r>
      </w:hyperlink>
      <w:r w:rsidRPr="005C5C72">
        <w:rPr>
          <w:rFonts w:asciiTheme="minorHAnsi" w:hAnsiTheme="minorHAnsi" w:cstheme="minorHAnsi"/>
          <w:sz w:val="22"/>
          <w:szCs w:val="22"/>
        </w:rPr>
        <w:t xml:space="preserve"> on 16 September 2022 and the recommendations have been considered in the development of the commissioning policies, on which this guidance is based.</w:t>
      </w:r>
    </w:p>
    <w:p w14:paraId="58C5A93E" w14:textId="0D46E38C" w:rsidR="00162FCD" w:rsidRPr="005C5C72" w:rsidRDefault="00162FCD" w:rsidP="00162FCD">
      <w:pPr>
        <w:autoSpaceDE w:val="0"/>
        <w:autoSpaceDN w:val="0"/>
        <w:adjustRightInd w:val="0"/>
        <w:rPr>
          <w:rFonts w:asciiTheme="minorHAnsi" w:eastAsiaTheme="minorHAnsi" w:hAnsiTheme="minorHAnsi" w:cstheme="minorHAnsi"/>
          <w:color w:val="000000"/>
          <w:sz w:val="22"/>
          <w:szCs w:val="22"/>
          <w:lang w:eastAsia="en-US"/>
        </w:rPr>
      </w:pPr>
    </w:p>
    <w:p w14:paraId="7EAEA871" w14:textId="4BD1F8AE" w:rsidR="003719EF" w:rsidRPr="000143A5" w:rsidRDefault="003719EF" w:rsidP="003719EF">
      <w:pPr>
        <w:autoSpaceDE w:val="0"/>
        <w:autoSpaceDN w:val="0"/>
        <w:adjustRightInd w:val="0"/>
        <w:rPr>
          <w:rFonts w:asciiTheme="minorHAnsi" w:hAnsiTheme="minorHAnsi" w:cstheme="minorHAnsi"/>
          <w:sz w:val="22"/>
          <w:szCs w:val="22"/>
        </w:rPr>
      </w:pPr>
      <w:r w:rsidRPr="005C5C72">
        <w:rPr>
          <w:rFonts w:asciiTheme="minorHAnsi" w:hAnsiTheme="minorHAnsi" w:cstheme="minorHAnsi"/>
          <w:sz w:val="22"/>
          <w:szCs w:val="22"/>
        </w:rPr>
        <w:t>Antiviral medications inhibit viral replication and p</w:t>
      </w:r>
      <w:r w:rsidR="000143A5" w:rsidRPr="005C5C72">
        <w:rPr>
          <w:rFonts w:asciiTheme="minorHAnsi" w:hAnsiTheme="minorHAnsi" w:cstheme="minorHAnsi"/>
          <w:sz w:val="22"/>
          <w:szCs w:val="22"/>
        </w:rPr>
        <w:t>revent progression of infection. Evidence suggests that antivirals significantly improve clinical outcomes in patients with COVID-19 who are at high risk of progression to severe disease and/or death.</w:t>
      </w:r>
    </w:p>
    <w:p w14:paraId="513E09C5" w14:textId="77777777" w:rsidR="000143A5" w:rsidRPr="000143A5" w:rsidRDefault="000143A5" w:rsidP="003719EF">
      <w:pPr>
        <w:autoSpaceDE w:val="0"/>
        <w:autoSpaceDN w:val="0"/>
        <w:adjustRightInd w:val="0"/>
        <w:rPr>
          <w:rFonts w:asciiTheme="minorHAnsi" w:hAnsiTheme="minorHAnsi" w:cstheme="minorHAnsi"/>
          <w:sz w:val="22"/>
          <w:szCs w:val="22"/>
        </w:rPr>
      </w:pPr>
    </w:p>
    <w:p w14:paraId="0D810412" w14:textId="7CF8DD14" w:rsidR="003719EF" w:rsidRPr="000143A5" w:rsidRDefault="003719EF" w:rsidP="00D412ED">
      <w:pPr>
        <w:pStyle w:val="ListParagraph"/>
        <w:numPr>
          <w:ilvl w:val="0"/>
          <w:numId w:val="22"/>
        </w:numPr>
        <w:autoSpaceDE w:val="0"/>
        <w:autoSpaceDN w:val="0"/>
        <w:adjustRightInd w:val="0"/>
        <w:rPr>
          <w:rFonts w:cstheme="minorHAnsi"/>
        </w:rPr>
      </w:pPr>
      <w:r w:rsidRPr="000143A5">
        <w:rPr>
          <w:rFonts w:cstheme="minorHAnsi"/>
          <w:b/>
        </w:rPr>
        <w:t>PF-07321332 (nirmatrelvir) plus ritonavir</w:t>
      </w:r>
      <w:r w:rsidR="0044455D" w:rsidRPr="000143A5">
        <w:rPr>
          <w:rFonts w:cstheme="minorHAnsi"/>
          <w:b/>
        </w:rPr>
        <w:t xml:space="preserve"> (Paxlovid</w:t>
      </w:r>
      <w:r w:rsidR="0044455D" w:rsidRPr="000143A5">
        <w:rPr>
          <w:rFonts w:cstheme="minorHAnsi"/>
          <w:b/>
          <w:bCs/>
          <w:color w:val="000000"/>
        </w:rPr>
        <w:t>®</w:t>
      </w:r>
      <w:r w:rsidR="0044455D" w:rsidRPr="000143A5">
        <w:rPr>
          <w:rFonts w:cstheme="minorHAnsi"/>
          <w:b/>
        </w:rPr>
        <w:t>)</w:t>
      </w:r>
      <w:r w:rsidRPr="000143A5">
        <w:rPr>
          <w:rFonts w:cstheme="minorHAnsi"/>
          <w:b/>
        </w:rPr>
        <w:t>:</w:t>
      </w:r>
      <w:r w:rsidRPr="000143A5">
        <w:rPr>
          <w:rFonts w:cstheme="minorHAnsi"/>
        </w:rPr>
        <w:t xml:space="preserve"> </w:t>
      </w:r>
      <w:r w:rsidR="00D412ED" w:rsidRPr="000143A5">
        <w:rPr>
          <w:rFonts w:cstheme="minorHAnsi"/>
        </w:rPr>
        <w:t>nirmatrelvir is an orally active 3C-like protease inhibitor. It binds directly to the catalytic cysteine residue of the cysteine protease enzyme. Ritonavir slows down the metabolism of nirmatrelvir via cytochrome enzyme inhibition, increasing the circulating concentration of the main drug.</w:t>
      </w:r>
    </w:p>
    <w:p w14:paraId="2985D452" w14:textId="77777777" w:rsidR="00D412ED" w:rsidRPr="000143A5" w:rsidRDefault="00D412ED" w:rsidP="00D412ED">
      <w:pPr>
        <w:pStyle w:val="ListParagraph"/>
        <w:numPr>
          <w:ilvl w:val="0"/>
          <w:numId w:val="22"/>
        </w:numPr>
        <w:autoSpaceDE w:val="0"/>
        <w:autoSpaceDN w:val="0"/>
        <w:adjustRightInd w:val="0"/>
        <w:rPr>
          <w:rFonts w:cstheme="minorHAnsi"/>
        </w:rPr>
      </w:pPr>
      <w:r w:rsidRPr="000143A5">
        <w:rPr>
          <w:rFonts w:cstheme="minorHAnsi"/>
          <w:b/>
        </w:rPr>
        <w:t>Remdesivir:</w:t>
      </w:r>
      <w:r w:rsidRPr="000143A5">
        <w:rPr>
          <w:rFonts w:cstheme="minorHAnsi"/>
        </w:rPr>
        <w:t xml:space="preserve"> adenosine nucleotide prodrug that is metabolised intracellularly to form the pharmacologically active substrate remdesivir triphosphate which inhibits SARS-CoV-2 RNA polymerase and perturbs viral replication.</w:t>
      </w:r>
    </w:p>
    <w:p w14:paraId="7DC015BE" w14:textId="0AFB06A8" w:rsidR="000143A5" w:rsidRPr="000143A5" w:rsidRDefault="000143A5" w:rsidP="000143A5">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nMAbs are synthetic monoclonal antibodies that bind to the spike protein of SARS-CoV-2, preventing subsequent entry of the virus into the host cell and its replication. This effectively ‘neutralises’ the virus particle. The following nMAb have conditional marketing authorisation for use in the treatment of COVID-19 in the UK: </w:t>
      </w:r>
    </w:p>
    <w:p w14:paraId="5B3B21FD" w14:textId="77777777" w:rsidR="000143A5" w:rsidRPr="000143A5" w:rsidRDefault="000143A5" w:rsidP="000143A5">
      <w:pPr>
        <w:autoSpaceDE w:val="0"/>
        <w:autoSpaceDN w:val="0"/>
        <w:adjustRightInd w:val="0"/>
        <w:rPr>
          <w:rFonts w:asciiTheme="minorHAnsi" w:eastAsiaTheme="minorHAnsi" w:hAnsiTheme="minorHAnsi" w:cstheme="minorHAnsi"/>
          <w:color w:val="000000"/>
          <w:sz w:val="22"/>
          <w:szCs w:val="22"/>
          <w:lang w:eastAsia="en-US"/>
        </w:rPr>
      </w:pPr>
    </w:p>
    <w:p w14:paraId="4D0F179A" w14:textId="77777777" w:rsidR="000143A5" w:rsidRPr="000143A5" w:rsidRDefault="000143A5" w:rsidP="000143A5">
      <w:pPr>
        <w:pStyle w:val="ListParagraph"/>
        <w:numPr>
          <w:ilvl w:val="0"/>
          <w:numId w:val="5"/>
        </w:numPr>
        <w:autoSpaceDE w:val="0"/>
        <w:autoSpaceDN w:val="0"/>
        <w:adjustRightInd w:val="0"/>
        <w:rPr>
          <w:rFonts w:cstheme="minorHAnsi"/>
          <w:color w:val="000000"/>
        </w:rPr>
      </w:pPr>
      <w:r w:rsidRPr="000143A5">
        <w:rPr>
          <w:rFonts w:cstheme="minorHAnsi"/>
          <w:b/>
          <w:bCs/>
          <w:color w:val="000000"/>
        </w:rPr>
        <w:t>Sotrovimab (Xevudy®)</w:t>
      </w:r>
      <w:r w:rsidRPr="000143A5">
        <w:rPr>
          <w:rFonts w:cstheme="minorHAnsi"/>
          <w:color w:val="000000"/>
        </w:rPr>
        <w:t>: an nMAB that both blocks viral entry into healthy cells and clears cells infected with SARS-CoV-2.</w:t>
      </w:r>
    </w:p>
    <w:p w14:paraId="0E2F26F5" w14:textId="009D5033" w:rsidR="00162FCD" w:rsidRPr="000143A5" w:rsidRDefault="00162FCD" w:rsidP="00A94403">
      <w:pPr>
        <w:autoSpaceDE w:val="0"/>
        <w:autoSpaceDN w:val="0"/>
        <w:adjustRightInd w:val="0"/>
        <w:rPr>
          <w:rFonts w:asciiTheme="minorHAnsi" w:hAnsiTheme="minorHAnsi" w:cstheme="minorHAnsi"/>
          <w:sz w:val="22"/>
          <w:szCs w:val="22"/>
        </w:rPr>
      </w:pPr>
      <w:r w:rsidRPr="000143A5">
        <w:rPr>
          <w:rFonts w:asciiTheme="minorHAnsi" w:hAnsiTheme="minorHAnsi" w:cstheme="minorHAnsi"/>
          <w:sz w:val="22"/>
          <w:szCs w:val="22"/>
        </w:rPr>
        <w:t>The guidance applies Trust-wide but some elements are site-specific. Please ensure you are following advice for the relevant site: Royal Sussex County Hospital (RSCH), Princess Royal Hospital (PRH), Worthing or St Richards Hospital (SRH).</w:t>
      </w:r>
    </w:p>
    <w:p w14:paraId="41F63E53" w14:textId="77777777" w:rsidR="00D004FA" w:rsidRPr="000143A5" w:rsidRDefault="00D004FA" w:rsidP="00A94403">
      <w:pPr>
        <w:autoSpaceDE w:val="0"/>
        <w:autoSpaceDN w:val="0"/>
        <w:adjustRightInd w:val="0"/>
        <w:rPr>
          <w:rFonts w:asciiTheme="minorHAnsi" w:hAnsiTheme="minorHAnsi" w:cstheme="minorHAnsi"/>
          <w:sz w:val="22"/>
          <w:szCs w:val="22"/>
        </w:rPr>
      </w:pPr>
    </w:p>
    <w:p w14:paraId="1EC1CE45" w14:textId="40301B96" w:rsidR="00E17E34" w:rsidRPr="000143A5" w:rsidRDefault="00D86426" w:rsidP="006B3CF8">
      <w:pPr>
        <w:spacing w:before="120"/>
        <w:rPr>
          <w:rFonts w:asciiTheme="minorHAnsi" w:hAnsiTheme="minorHAnsi" w:cstheme="minorHAnsi"/>
          <w:b/>
          <w:sz w:val="22"/>
          <w:szCs w:val="22"/>
          <w:u w:val="single"/>
        </w:rPr>
      </w:pPr>
      <w:r w:rsidRPr="000143A5">
        <w:rPr>
          <w:rFonts w:asciiTheme="minorHAnsi" w:hAnsiTheme="minorHAnsi" w:cstheme="minorHAnsi"/>
          <w:b/>
          <w:sz w:val="22"/>
          <w:szCs w:val="22"/>
          <w:u w:val="single"/>
        </w:rPr>
        <w:t>E</w:t>
      </w:r>
      <w:r w:rsidR="00FF56CB" w:rsidRPr="000143A5">
        <w:rPr>
          <w:rFonts w:asciiTheme="minorHAnsi" w:hAnsiTheme="minorHAnsi" w:cstheme="minorHAnsi"/>
          <w:b/>
          <w:sz w:val="22"/>
          <w:szCs w:val="22"/>
          <w:u w:val="single"/>
        </w:rPr>
        <w:t>vidence summary</w:t>
      </w:r>
    </w:p>
    <w:p w14:paraId="3EC75CE7" w14:textId="7EFC953A" w:rsidR="0044455D" w:rsidRPr="005C5C72" w:rsidRDefault="0044455D" w:rsidP="0044455D">
      <w:pPr>
        <w:spacing w:before="120"/>
        <w:rPr>
          <w:rStyle w:val="markedcontent"/>
          <w:rFonts w:asciiTheme="minorHAnsi" w:hAnsiTheme="minorHAnsi" w:cstheme="minorHAnsi"/>
          <w:sz w:val="22"/>
          <w:szCs w:val="22"/>
        </w:rPr>
      </w:pPr>
      <w:r w:rsidRPr="000143A5">
        <w:rPr>
          <w:rStyle w:val="markedcontent"/>
          <w:rFonts w:asciiTheme="minorHAnsi" w:hAnsiTheme="minorHAnsi" w:cstheme="minorHAnsi"/>
          <w:sz w:val="22"/>
          <w:szCs w:val="22"/>
        </w:rPr>
        <w:t xml:space="preserve">Final results from the EPIC-HR trial indicate that the dual oral antiviral PF-07321332 (nirmatrelvir) plus ritonavir resulted in a relative risk reduction of hospitalisation or death by 89% (within 3 day of symptom onset) and 88% (within 5 days of symptom onset) compared to placebo in non-hospitalised, high-risk adults with COVID-19. </w:t>
      </w:r>
      <w:r w:rsidR="00F67C40" w:rsidRPr="000143A5">
        <w:rPr>
          <w:rStyle w:val="markedcontent"/>
          <w:rFonts w:asciiTheme="minorHAnsi" w:hAnsiTheme="minorHAnsi" w:cstheme="minorHAnsi"/>
          <w:sz w:val="22"/>
          <w:szCs w:val="22"/>
        </w:rPr>
        <w:t>(Hammond 2022)</w:t>
      </w:r>
      <w:r w:rsidR="000143A5" w:rsidRPr="000143A5">
        <w:rPr>
          <w:rStyle w:val="markedcontent"/>
          <w:rFonts w:asciiTheme="minorHAnsi" w:hAnsiTheme="minorHAnsi" w:cstheme="minorHAnsi"/>
          <w:sz w:val="22"/>
          <w:szCs w:val="22"/>
        </w:rPr>
        <w:t xml:space="preserve">. </w:t>
      </w:r>
      <w:r w:rsidR="000143A5" w:rsidRPr="005C5C72">
        <w:rPr>
          <w:rFonts w:asciiTheme="minorHAnsi" w:hAnsiTheme="minorHAnsi" w:cstheme="minorHAnsi"/>
          <w:sz w:val="22"/>
          <w:szCs w:val="22"/>
        </w:rPr>
        <w:t>The WHO has made a strong recommendation for nirmatrelvir-ritonavir for patients with non-severe COVID-19 at highest risk of hospitalisation (WHO, September 2022).</w:t>
      </w:r>
    </w:p>
    <w:p w14:paraId="2E7B508F" w14:textId="77777777" w:rsidR="0044455D" w:rsidRPr="005C5C72" w:rsidRDefault="0044455D" w:rsidP="0044455D">
      <w:pPr>
        <w:spacing w:before="120"/>
        <w:rPr>
          <w:rStyle w:val="markedcontent"/>
          <w:rFonts w:asciiTheme="minorHAnsi" w:hAnsiTheme="minorHAnsi" w:cstheme="minorHAnsi"/>
          <w:sz w:val="22"/>
          <w:szCs w:val="22"/>
        </w:rPr>
      </w:pPr>
    </w:p>
    <w:p w14:paraId="4EBDDDD1" w14:textId="5744D9FF" w:rsidR="00242CF7" w:rsidRPr="005C5C72" w:rsidRDefault="0044455D" w:rsidP="00F67C40">
      <w:pPr>
        <w:autoSpaceDE w:val="0"/>
        <w:autoSpaceDN w:val="0"/>
        <w:adjustRightInd w:val="0"/>
        <w:rPr>
          <w:rFonts w:asciiTheme="minorHAnsi" w:eastAsiaTheme="minorHAnsi" w:hAnsiTheme="minorHAnsi" w:cstheme="minorHAnsi"/>
          <w:color w:val="000000"/>
          <w:sz w:val="22"/>
          <w:szCs w:val="22"/>
          <w:lang w:eastAsia="en-US"/>
        </w:rPr>
      </w:pPr>
      <w:r w:rsidRPr="005C5C72">
        <w:rPr>
          <w:rFonts w:asciiTheme="minorHAnsi" w:eastAsiaTheme="minorHAnsi" w:hAnsiTheme="minorHAnsi" w:cstheme="minorHAnsi"/>
          <w:color w:val="000000"/>
          <w:sz w:val="22"/>
          <w:szCs w:val="22"/>
          <w:lang w:eastAsia="en-US"/>
        </w:rPr>
        <w:t>Remdesivir administered intravenously for 3 days to non-hospitalised patients within 7 days of COVID-19 symptom onset who had risk factors for disease progression, resulted in a relative risk reduction of 87% in hospitalisation or death at day 28 (absolute risk reduction 5.3% to 0.7%) (Gottlieb RL</w:t>
      </w:r>
      <w:r w:rsidRPr="005C5C72">
        <w:rPr>
          <w:rFonts w:asciiTheme="minorHAnsi" w:eastAsiaTheme="minorHAnsi" w:hAnsiTheme="minorHAnsi" w:cstheme="minorHAnsi"/>
          <w:i/>
          <w:color w:val="000000"/>
          <w:sz w:val="22"/>
          <w:szCs w:val="22"/>
          <w:lang w:eastAsia="en-US"/>
        </w:rPr>
        <w:t xml:space="preserve">, </w:t>
      </w:r>
      <w:r w:rsidRPr="005C5C72">
        <w:rPr>
          <w:rFonts w:asciiTheme="minorHAnsi" w:eastAsiaTheme="minorHAnsi" w:hAnsiTheme="minorHAnsi" w:cstheme="minorHAnsi"/>
          <w:color w:val="000000"/>
          <w:sz w:val="22"/>
          <w:szCs w:val="22"/>
          <w:lang w:eastAsia="en-US"/>
        </w:rPr>
        <w:t>2021).</w:t>
      </w:r>
      <w:r w:rsidR="000143A5" w:rsidRPr="005C5C72">
        <w:rPr>
          <w:rFonts w:asciiTheme="minorHAnsi" w:eastAsiaTheme="minorHAnsi" w:hAnsiTheme="minorHAnsi" w:cstheme="minorHAnsi"/>
          <w:color w:val="000000"/>
          <w:sz w:val="22"/>
          <w:szCs w:val="22"/>
          <w:lang w:eastAsia="en-US"/>
        </w:rPr>
        <w:t xml:space="preserve"> </w:t>
      </w:r>
      <w:r w:rsidR="000143A5" w:rsidRPr="005C5C72">
        <w:rPr>
          <w:rFonts w:asciiTheme="minorHAnsi" w:hAnsiTheme="minorHAnsi" w:cstheme="minorHAnsi"/>
          <w:sz w:val="22"/>
          <w:szCs w:val="22"/>
        </w:rPr>
        <w:t>The WHO has made a conditional recommendation for remdesivir for patients with non-severe COVID-19 at highest risk of hospitalisation (WHO, September 2022).</w:t>
      </w:r>
    </w:p>
    <w:p w14:paraId="43928F84" w14:textId="77777777" w:rsidR="00F67C40" w:rsidRPr="005C5C72" w:rsidRDefault="00F67C40" w:rsidP="00F67C40">
      <w:pPr>
        <w:autoSpaceDE w:val="0"/>
        <w:autoSpaceDN w:val="0"/>
        <w:adjustRightInd w:val="0"/>
        <w:rPr>
          <w:rStyle w:val="markedcontent"/>
          <w:rFonts w:asciiTheme="minorHAnsi" w:eastAsiaTheme="minorHAnsi" w:hAnsiTheme="minorHAnsi" w:cstheme="minorHAnsi"/>
          <w:color w:val="000000"/>
          <w:sz w:val="22"/>
          <w:szCs w:val="22"/>
          <w:vertAlign w:val="superscript"/>
          <w:lang w:eastAsia="en-US"/>
        </w:rPr>
      </w:pPr>
    </w:p>
    <w:p w14:paraId="48753795" w14:textId="222DC6E3" w:rsidR="0044455D" w:rsidRPr="005C5C72" w:rsidRDefault="0044455D" w:rsidP="006B3CF8">
      <w:pPr>
        <w:spacing w:before="120"/>
        <w:rPr>
          <w:rStyle w:val="markedcontent"/>
          <w:rFonts w:asciiTheme="minorHAnsi" w:hAnsiTheme="minorHAnsi" w:cstheme="minorHAnsi"/>
          <w:sz w:val="22"/>
          <w:szCs w:val="22"/>
        </w:rPr>
      </w:pPr>
      <w:r w:rsidRPr="005C5C72">
        <w:rPr>
          <w:rStyle w:val="markedcontent"/>
          <w:rFonts w:asciiTheme="minorHAnsi" w:hAnsiTheme="minorHAnsi" w:cstheme="minorHAnsi"/>
          <w:sz w:val="22"/>
          <w:szCs w:val="22"/>
        </w:rPr>
        <w:t>Interim analysis of the COMET-ICE trial, which studied sotrovimab administered intravenously</w:t>
      </w:r>
      <w:r w:rsidRPr="005C5C72">
        <w:rPr>
          <w:rFonts w:asciiTheme="minorHAnsi" w:hAnsiTheme="minorHAnsi" w:cstheme="minorHAnsi"/>
          <w:sz w:val="22"/>
          <w:szCs w:val="22"/>
        </w:rPr>
        <w:t xml:space="preserve"> </w:t>
      </w:r>
      <w:r w:rsidRPr="005C5C72">
        <w:rPr>
          <w:rStyle w:val="markedcontent"/>
          <w:rFonts w:asciiTheme="minorHAnsi" w:hAnsiTheme="minorHAnsi" w:cstheme="minorHAnsi"/>
          <w:sz w:val="22"/>
          <w:szCs w:val="22"/>
        </w:rPr>
        <w:t>to non-hospitalised patients with mild-to-moderate disease and at least one risk factor for</w:t>
      </w:r>
      <w:r w:rsidRPr="005C5C72">
        <w:rPr>
          <w:rFonts w:asciiTheme="minorHAnsi" w:hAnsiTheme="minorHAnsi" w:cstheme="minorHAnsi"/>
          <w:sz w:val="22"/>
          <w:szCs w:val="22"/>
        </w:rPr>
        <w:t xml:space="preserve"> </w:t>
      </w:r>
      <w:r w:rsidRPr="005C5C72">
        <w:rPr>
          <w:rStyle w:val="markedcontent"/>
          <w:rFonts w:asciiTheme="minorHAnsi" w:hAnsiTheme="minorHAnsi" w:cstheme="minorHAnsi"/>
          <w:sz w:val="22"/>
          <w:szCs w:val="22"/>
        </w:rPr>
        <w:t>disease progression, showed a relative risk reduction in hospitalisation or death at day 29 by</w:t>
      </w:r>
      <w:r w:rsidRPr="005C5C72">
        <w:rPr>
          <w:rFonts w:asciiTheme="minorHAnsi" w:hAnsiTheme="minorHAnsi" w:cstheme="minorHAnsi"/>
          <w:sz w:val="22"/>
          <w:szCs w:val="22"/>
        </w:rPr>
        <w:t xml:space="preserve"> </w:t>
      </w:r>
      <w:r w:rsidRPr="005C5C72">
        <w:rPr>
          <w:rStyle w:val="markedcontent"/>
          <w:rFonts w:asciiTheme="minorHAnsi" w:hAnsiTheme="minorHAnsi" w:cstheme="minorHAnsi"/>
          <w:sz w:val="22"/>
          <w:szCs w:val="22"/>
        </w:rPr>
        <w:t>85% in patients treated with sotrovimab compared with placebo (Gupta et al, 2021a). The final</w:t>
      </w:r>
      <w:r w:rsidRPr="005C5C72">
        <w:rPr>
          <w:rFonts w:asciiTheme="minorHAnsi" w:hAnsiTheme="minorHAnsi" w:cstheme="minorHAnsi"/>
          <w:sz w:val="22"/>
          <w:szCs w:val="22"/>
        </w:rPr>
        <w:t xml:space="preserve"> </w:t>
      </w:r>
      <w:r w:rsidRPr="005C5C72">
        <w:rPr>
          <w:rStyle w:val="markedcontent"/>
          <w:rFonts w:asciiTheme="minorHAnsi" w:hAnsiTheme="minorHAnsi" w:cstheme="minorHAnsi"/>
          <w:sz w:val="22"/>
          <w:szCs w:val="22"/>
        </w:rPr>
        <w:t>analysis of this study has shown a relative risk reduction in hospitalisation or death at day 29</w:t>
      </w:r>
      <w:r w:rsidRPr="005C5C72">
        <w:rPr>
          <w:rFonts w:asciiTheme="minorHAnsi" w:hAnsiTheme="minorHAnsi" w:cstheme="minorHAnsi"/>
          <w:sz w:val="22"/>
          <w:szCs w:val="22"/>
        </w:rPr>
        <w:t xml:space="preserve"> </w:t>
      </w:r>
      <w:r w:rsidRPr="005C5C72">
        <w:rPr>
          <w:rStyle w:val="markedcontent"/>
          <w:rFonts w:asciiTheme="minorHAnsi" w:hAnsiTheme="minorHAnsi" w:cstheme="minorHAnsi"/>
          <w:sz w:val="22"/>
          <w:szCs w:val="22"/>
        </w:rPr>
        <w:t>by 79% in patients treated with sotrovimab compared with placebo (Gupta et al, 2021b)</w:t>
      </w:r>
      <w:r w:rsidR="000143A5" w:rsidRPr="005C5C72">
        <w:rPr>
          <w:rStyle w:val="markedcontent"/>
          <w:rFonts w:asciiTheme="minorHAnsi" w:hAnsiTheme="minorHAnsi" w:cstheme="minorHAnsi"/>
          <w:sz w:val="22"/>
          <w:szCs w:val="22"/>
        </w:rPr>
        <w:t xml:space="preserve">. </w:t>
      </w:r>
      <w:r w:rsidR="000143A5" w:rsidRPr="005C5C72">
        <w:rPr>
          <w:rFonts w:asciiTheme="minorHAnsi" w:hAnsiTheme="minorHAnsi" w:cstheme="minorHAnsi"/>
          <w:sz w:val="22"/>
          <w:szCs w:val="22"/>
        </w:rPr>
        <w:t>In September 2022, the WHO made a strong recommendation against the use of sotrovimab patients with COVID-19 (WHO).</w:t>
      </w:r>
    </w:p>
    <w:p w14:paraId="3CCF68C2" w14:textId="44A0825A" w:rsidR="003A416F" w:rsidRPr="005C5C72" w:rsidRDefault="003A416F" w:rsidP="006B3CF8">
      <w:pPr>
        <w:spacing w:before="120"/>
        <w:rPr>
          <w:rStyle w:val="markedcontent"/>
          <w:rFonts w:asciiTheme="minorHAnsi" w:hAnsiTheme="minorHAnsi" w:cstheme="minorHAnsi"/>
          <w:sz w:val="22"/>
          <w:szCs w:val="22"/>
        </w:rPr>
      </w:pPr>
    </w:p>
    <w:p w14:paraId="7A0811AB" w14:textId="05117E37" w:rsidR="009473EF" w:rsidRPr="005C5C72" w:rsidRDefault="00DF02EF" w:rsidP="006B3CF8">
      <w:pPr>
        <w:spacing w:before="120"/>
        <w:rPr>
          <w:rFonts w:asciiTheme="minorHAnsi" w:hAnsiTheme="minorHAnsi" w:cstheme="minorHAnsi"/>
          <w:b/>
          <w:sz w:val="22"/>
          <w:szCs w:val="22"/>
          <w:u w:val="single"/>
        </w:rPr>
      </w:pPr>
      <w:r w:rsidRPr="005C5C72">
        <w:rPr>
          <w:rFonts w:asciiTheme="minorHAnsi" w:hAnsiTheme="minorHAnsi" w:cstheme="minorHAnsi"/>
          <w:b/>
          <w:sz w:val="22"/>
          <w:szCs w:val="22"/>
          <w:u w:val="single"/>
        </w:rPr>
        <w:t>I</w:t>
      </w:r>
      <w:r w:rsidR="00350FA8" w:rsidRPr="005C5C72">
        <w:rPr>
          <w:rFonts w:asciiTheme="minorHAnsi" w:hAnsiTheme="minorHAnsi" w:cstheme="minorHAnsi"/>
          <w:b/>
          <w:sz w:val="22"/>
          <w:szCs w:val="22"/>
          <w:u w:val="single"/>
        </w:rPr>
        <w:t>ndication</w:t>
      </w:r>
    </w:p>
    <w:p w14:paraId="264E0BB7" w14:textId="6807EF7E" w:rsidR="00E405A5" w:rsidRPr="000143A5" w:rsidRDefault="0000429E" w:rsidP="0000429E">
      <w:pPr>
        <w:spacing w:before="120"/>
        <w:rPr>
          <w:rFonts w:asciiTheme="minorHAnsi" w:eastAsiaTheme="minorHAnsi" w:hAnsiTheme="minorHAnsi" w:cstheme="minorHAnsi"/>
          <w:bCs/>
          <w:color w:val="000000"/>
          <w:sz w:val="22"/>
          <w:szCs w:val="22"/>
        </w:rPr>
      </w:pPr>
      <w:r w:rsidRPr="005C5C72">
        <w:rPr>
          <w:rFonts w:asciiTheme="minorHAnsi" w:eastAsiaTheme="minorHAnsi" w:hAnsiTheme="minorHAnsi" w:cstheme="minorHAnsi"/>
          <w:bCs/>
          <w:color w:val="000000"/>
          <w:sz w:val="22"/>
          <w:szCs w:val="22"/>
        </w:rPr>
        <w:t xml:space="preserve">Patients with hospital-onset COVID-19 or </w:t>
      </w:r>
      <w:r w:rsidR="003C1506" w:rsidRPr="005C5C72">
        <w:rPr>
          <w:rFonts w:asciiTheme="minorHAnsi" w:eastAsiaTheme="minorHAnsi" w:hAnsiTheme="minorHAnsi" w:cstheme="minorHAnsi"/>
          <w:bCs/>
          <w:color w:val="000000"/>
          <w:sz w:val="22"/>
          <w:szCs w:val="22"/>
        </w:rPr>
        <w:t xml:space="preserve">COVID-19 positive on admission but </w:t>
      </w:r>
      <w:r w:rsidRPr="005C5C72">
        <w:rPr>
          <w:rFonts w:asciiTheme="minorHAnsi" w:eastAsiaTheme="minorHAnsi" w:hAnsiTheme="minorHAnsi" w:cstheme="minorHAnsi"/>
          <w:bCs/>
          <w:color w:val="000000"/>
          <w:sz w:val="22"/>
          <w:szCs w:val="22"/>
        </w:rPr>
        <w:t xml:space="preserve">hospitalised for indications other than for the management of acute symptoms of COVID-19 – </w:t>
      </w:r>
      <w:r w:rsidR="009D22F0" w:rsidRPr="005C5C72">
        <w:rPr>
          <w:rFonts w:asciiTheme="minorHAnsi" w:eastAsiaTheme="minorHAnsi" w:hAnsiTheme="minorHAnsi" w:cstheme="minorHAnsi"/>
          <w:color w:val="000000"/>
          <w:sz w:val="22"/>
          <w:szCs w:val="22"/>
          <w:lang w:eastAsia="en-US"/>
        </w:rPr>
        <w:t>may be treated with</w:t>
      </w:r>
      <w:r w:rsidRPr="005C5C72">
        <w:rPr>
          <w:rFonts w:asciiTheme="minorHAnsi" w:eastAsiaTheme="minorHAnsi" w:hAnsiTheme="minorHAnsi" w:cstheme="minorHAnsi"/>
          <w:color w:val="000000"/>
          <w:sz w:val="22"/>
          <w:szCs w:val="22"/>
          <w:lang w:eastAsia="en-US"/>
        </w:rPr>
        <w:t xml:space="preserve"> either</w:t>
      </w:r>
      <w:r w:rsidR="009D22F0" w:rsidRPr="005C5C72">
        <w:rPr>
          <w:rFonts w:asciiTheme="minorHAnsi" w:eastAsiaTheme="minorHAnsi" w:hAnsiTheme="minorHAnsi" w:cstheme="minorHAnsi"/>
          <w:color w:val="000000"/>
          <w:sz w:val="22"/>
          <w:szCs w:val="22"/>
          <w:lang w:eastAsia="en-US"/>
        </w:rPr>
        <w:t xml:space="preserve"> </w:t>
      </w:r>
      <w:r w:rsidRPr="005C5C72">
        <w:rPr>
          <w:rFonts w:asciiTheme="minorHAnsi" w:eastAsiaTheme="minorHAnsi" w:hAnsiTheme="minorHAnsi" w:cstheme="minorHAnsi"/>
          <w:color w:val="000000"/>
          <w:sz w:val="22"/>
          <w:szCs w:val="22"/>
          <w:lang w:eastAsia="en-US"/>
        </w:rPr>
        <w:t>PF-07321332 (nirmatrelvir) plus ritonavir (Paxlovid</w:t>
      </w:r>
      <w:r w:rsidRPr="005C5C72">
        <w:rPr>
          <w:rStyle w:val="markedcontent"/>
          <w:rFonts w:asciiTheme="minorHAnsi" w:hAnsiTheme="minorHAnsi" w:cstheme="minorHAnsi"/>
          <w:sz w:val="22"/>
          <w:szCs w:val="22"/>
        </w:rPr>
        <w:t>®), remdesivir or sotrovimab</w:t>
      </w:r>
      <w:r w:rsidR="000143A5" w:rsidRPr="005C5C72">
        <w:rPr>
          <w:rStyle w:val="markedcontent"/>
          <w:rFonts w:asciiTheme="minorHAnsi" w:hAnsiTheme="minorHAnsi" w:cstheme="minorHAnsi"/>
          <w:sz w:val="22"/>
          <w:szCs w:val="22"/>
        </w:rPr>
        <w:t xml:space="preserve"> (with MDT approval)</w:t>
      </w:r>
      <w:r w:rsidRPr="005C5C72">
        <w:rPr>
          <w:rStyle w:val="markedcontent"/>
          <w:rFonts w:asciiTheme="minorHAnsi" w:hAnsiTheme="minorHAnsi" w:cstheme="minorHAnsi"/>
          <w:sz w:val="22"/>
          <w:szCs w:val="22"/>
        </w:rPr>
        <w:t>. Further information on selecting the most appropriate treatment below.</w:t>
      </w:r>
    </w:p>
    <w:p w14:paraId="1B242421" w14:textId="77777777" w:rsidR="0000429E" w:rsidRPr="000143A5" w:rsidRDefault="0000429E" w:rsidP="0000429E">
      <w:pPr>
        <w:autoSpaceDE w:val="0"/>
        <w:autoSpaceDN w:val="0"/>
        <w:adjustRightInd w:val="0"/>
        <w:rPr>
          <w:rFonts w:asciiTheme="minorHAnsi" w:hAnsiTheme="minorHAnsi" w:cstheme="minorHAnsi"/>
          <w:color w:val="000000"/>
          <w:sz w:val="22"/>
          <w:szCs w:val="22"/>
        </w:rPr>
      </w:pPr>
    </w:p>
    <w:p w14:paraId="548AC5C0" w14:textId="77777777" w:rsidR="0000429E" w:rsidRPr="000143A5" w:rsidRDefault="0000429E" w:rsidP="0000429E">
      <w:pPr>
        <w:autoSpaceDE w:val="0"/>
        <w:autoSpaceDN w:val="0"/>
        <w:adjustRightInd w:val="0"/>
        <w:rPr>
          <w:rFonts w:asciiTheme="minorHAnsi" w:hAnsiTheme="minorHAnsi" w:cstheme="minorHAnsi"/>
          <w:sz w:val="22"/>
          <w:szCs w:val="22"/>
        </w:rPr>
      </w:pPr>
      <w:r w:rsidRPr="000143A5">
        <w:rPr>
          <w:rFonts w:asciiTheme="minorHAnsi" w:hAnsiTheme="minorHAnsi" w:cstheme="minorHAnsi"/>
          <w:color w:val="000000"/>
          <w:sz w:val="22"/>
          <w:szCs w:val="22"/>
        </w:rPr>
        <w:t xml:space="preserve">Combination treatment with an nMAB and an antiviral is </w:t>
      </w:r>
      <w:r w:rsidRPr="000143A5">
        <w:rPr>
          <w:rFonts w:asciiTheme="minorHAnsi" w:hAnsiTheme="minorHAnsi" w:cstheme="minorHAnsi"/>
          <w:color w:val="000000"/>
          <w:sz w:val="22"/>
          <w:szCs w:val="22"/>
          <w:u w:val="single"/>
        </w:rPr>
        <w:t>NOT</w:t>
      </w:r>
      <w:r w:rsidRPr="000143A5">
        <w:rPr>
          <w:rFonts w:asciiTheme="minorHAnsi" w:hAnsiTheme="minorHAnsi" w:cstheme="minorHAnsi"/>
          <w:color w:val="000000"/>
          <w:sz w:val="22"/>
          <w:szCs w:val="22"/>
        </w:rPr>
        <w:t xml:space="preserve"> routinely recommended.</w:t>
      </w:r>
    </w:p>
    <w:p w14:paraId="6AD146B1" w14:textId="77777777" w:rsidR="00332C22" w:rsidRPr="000143A5" w:rsidRDefault="00332C22" w:rsidP="00332C22">
      <w:pPr>
        <w:rPr>
          <w:rFonts w:asciiTheme="minorHAnsi" w:eastAsiaTheme="minorHAnsi" w:hAnsiTheme="minorHAnsi" w:cstheme="minorHAnsi"/>
          <w:color w:val="000000"/>
          <w:sz w:val="22"/>
          <w:szCs w:val="22"/>
          <w:lang w:eastAsia="en-US"/>
        </w:rPr>
      </w:pPr>
    </w:p>
    <w:p w14:paraId="0044FDA4" w14:textId="77777777" w:rsidR="000143A5" w:rsidRDefault="000143A5" w:rsidP="003A416F">
      <w:pPr>
        <w:autoSpaceDE w:val="0"/>
        <w:autoSpaceDN w:val="0"/>
        <w:adjustRightInd w:val="0"/>
        <w:rPr>
          <w:rFonts w:asciiTheme="minorHAnsi" w:eastAsiaTheme="minorHAnsi" w:hAnsiTheme="minorHAnsi" w:cstheme="minorHAnsi"/>
          <w:b/>
          <w:color w:val="000000"/>
          <w:sz w:val="22"/>
          <w:szCs w:val="22"/>
          <w:lang w:eastAsia="en-US"/>
        </w:rPr>
      </w:pPr>
    </w:p>
    <w:p w14:paraId="6BC03440" w14:textId="11763E69" w:rsidR="00992992" w:rsidRPr="000143A5" w:rsidRDefault="00E73B6D" w:rsidP="003A416F">
      <w:pPr>
        <w:autoSpaceDE w:val="0"/>
        <w:autoSpaceDN w:val="0"/>
        <w:adjustRightInd w:val="0"/>
        <w:rPr>
          <w:rFonts w:asciiTheme="minorHAnsi" w:eastAsiaTheme="minorHAnsi" w:hAnsiTheme="minorHAnsi" w:cstheme="minorHAnsi"/>
          <w:b/>
          <w:color w:val="000000"/>
          <w:sz w:val="22"/>
          <w:szCs w:val="22"/>
          <w:lang w:eastAsia="en-US"/>
        </w:rPr>
      </w:pPr>
      <w:r w:rsidRPr="000143A5">
        <w:rPr>
          <w:rFonts w:asciiTheme="minorHAnsi" w:eastAsiaTheme="minorHAnsi" w:hAnsiTheme="minorHAnsi" w:cstheme="minorHAnsi"/>
          <w:b/>
          <w:color w:val="000000"/>
          <w:sz w:val="22"/>
          <w:szCs w:val="22"/>
          <w:lang w:eastAsia="en-US"/>
        </w:rPr>
        <w:t xml:space="preserve">Patients hospitalised </w:t>
      </w:r>
      <w:r w:rsidR="003C1506" w:rsidRPr="000143A5">
        <w:rPr>
          <w:rFonts w:asciiTheme="minorHAnsi" w:eastAsiaTheme="minorHAnsi" w:hAnsiTheme="minorHAnsi" w:cstheme="minorHAnsi"/>
          <w:b/>
          <w:color w:val="000000"/>
          <w:sz w:val="22"/>
          <w:szCs w:val="22"/>
          <w:lang w:eastAsia="en-US"/>
        </w:rPr>
        <w:t>for</w:t>
      </w:r>
      <w:r w:rsidRPr="000143A5">
        <w:rPr>
          <w:rFonts w:asciiTheme="minorHAnsi" w:eastAsiaTheme="minorHAnsi" w:hAnsiTheme="minorHAnsi" w:cstheme="minorHAnsi"/>
          <w:b/>
          <w:color w:val="000000"/>
          <w:sz w:val="22"/>
          <w:szCs w:val="22"/>
          <w:lang w:eastAsia="en-US"/>
        </w:rPr>
        <w:t xml:space="preserve"> acute COVID-19</w:t>
      </w:r>
      <w:r w:rsidR="003C1506" w:rsidRPr="000143A5">
        <w:rPr>
          <w:rFonts w:asciiTheme="minorHAnsi" w:eastAsiaTheme="minorHAnsi" w:hAnsiTheme="minorHAnsi" w:cstheme="minorHAnsi"/>
          <w:b/>
          <w:color w:val="000000"/>
          <w:sz w:val="22"/>
          <w:szCs w:val="22"/>
          <w:lang w:eastAsia="en-US"/>
        </w:rPr>
        <w:t xml:space="preserve"> illness</w:t>
      </w:r>
      <w:r w:rsidRPr="000143A5">
        <w:rPr>
          <w:rFonts w:asciiTheme="minorHAnsi" w:eastAsiaTheme="minorHAnsi" w:hAnsiTheme="minorHAnsi" w:cstheme="minorHAnsi"/>
          <w:b/>
          <w:color w:val="000000"/>
          <w:sz w:val="22"/>
          <w:szCs w:val="22"/>
          <w:lang w:eastAsia="en-US"/>
        </w:rPr>
        <w:t xml:space="preserve"> </w:t>
      </w:r>
      <w:r w:rsidR="00B225B4" w:rsidRPr="000143A5">
        <w:rPr>
          <w:rFonts w:asciiTheme="minorHAnsi" w:eastAsiaTheme="minorHAnsi" w:hAnsiTheme="minorHAnsi" w:cstheme="minorHAnsi"/>
          <w:b/>
          <w:color w:val="000000"/>
          <w:sz w:val="22"/>
          <w:szCs w:val="22"/>
          <w:lang w:eastAsia="en-US"/>
        </w:rPr>
        <w:t>(Group 1)</w:t>
      </w:r>
    </w:p>
    <w:p w14:paraId="20AFE14E" w14:textId="5CBB4C3B" w:rsidR="009A280F" w:rsidRPr="000143A5" w:rsidRDefault="00992992" w:rsidP="009A280F">
      <w:pPr>
        <w:autoSpaceDE w:val="0"/>
        <w:autoSpaceDN w:val="0"/>
        <w:adjustRightInd w:val="0"/>
        <w:spacing w:before="120"/>
        <w:rPr>
          <w:rFonts w:asciiTheme="minorHAnsi" w:hAnsiTheme="minorHAnsi" w:cstheme="minorHAnsi"/>
          <w:sz w:val="22"/>
          <w:szCs w:val="22"/>
        </w:rPr>
      </w:pPr>
      <w:r w:rsidRPr="000143A5">
        <w:rPr>
          <w:rFonts w:asciiTheme="minorHAnsi" w:hAnsiTheme="minorHAnsi" w:cstheme="minorHAnsi"/>
          <w:sz w:val="22"/>
          <w:szCs w:val="22"/>
        </w:rPr>
        <w:t xml:space="preserve">When a patient is admitted to hospital for the treatment of COVID-19 infection </w:t>
      </w:r>
      <w:r w:rsidR="00DB788F" w:rsidRPr="000143A5">
        <w:rPr>
          <w:rFonts w:asciiTheme="minorHAnsi" w:hAnsiTheme="minorHAnsi" w:cstheme="minorHAnsi"/>
          <w:sz w:val="22"/>
          <w:szCs w:val="22"/>
        </w:rPr>
        <w:t xml:space="preserve">and has a new oxygen requirement </w:t>
      </w:r>
      <w:r w:rsidRPr="000143A5">
        <w:rPr>
          <w:rFonts w:asciiTheme="minorHAnsi" w:hAnsiTheme="minorHAnsi" w:cstheme="minorHAnsi"/>
          <w:sz w:val="22"/>
          <w:szCs w:val="22"/>
        </w:rPr>
        <w:t>they may</w:t>
      </w:r>
      <w:r w:rsidR="009A280F" w:rsidRPr="000143A5">
        <w:rPr>
          <w:rFonts w:asciiTheme="minorHAnsi" w:hAnsiTheme="minorHAnsi" w:cstheme="minorHAnsi"/>
          <w:sz w:val="22"/>
          <w:szCs w:val="22"/>
        </w:rPr>
        <w:t xml:space="preserve"> be eligible for treatment with Dexamethasone, Remdesivir</w:t>
      </w:r>
      <w:r w:rsidR="00DB788F" w:rsidRPr="000143A5">
        <w:rPr>
          <w:rFonts w:asciiTheme="minorHAnsi" w:hAnsiTheme="minorHAnsi" w:cstheme="minorHAnsi"/>
          <w:sz w:val="22"/>
          <w:szCs w:val="22"/>
        </w:rPr>
        <w:t>,</w:t>
      </w:r>
      <w:r w:rsidR="009A280F" w:rsidRPr="000143A5">
        <w:rPr>
          <w:rFonts w:asciiTheme="minorHAnsi" w:hAnsiTheme="minorHAnsi" w:cstheme="minorHAnsi"/>
          <w:sz w:val="22"/>
          <w:szCs w:val="22"/>
        </w:rPr>
        <w:t xml:space="preserve"> </w:t>
      </w:r>
      <w:r w:rsidR="00DB788F" w:rsidRPr="000143A5">
        <w:rPr>
          <w:rFonts w:asciiTheme="minorHAnsi" w:hAnsiTheme="minorHAnsi" w:cstheme="minorHAnsi"/>
          <w:sz w:val="22"/>
          <w:szCs w:val="22"/>
        </w:rPr>
        <w:t xml:space="preserve">Baricitinib </w:t>
      </w:r>
      <w:r w:rsidR="009A280F" w:rsidRPr="000143A5">
        <w:rPr>
          <w:rFonts w:asciiTheme="minorHAnsi" w:hAnsiTheme="minorHAnsi" w:cstheme="minorHAnsi"/>
          <w:sz w:val="22"/>
          <w:szCs w:val="22"/>
        </w:rPr>
        <w:t>or an IL-6 Inhibitor</w:t>
      </w:r>
      <w:r w:rsidR="00DB788F" w:rsidRPr="000143A5">
        <w:rPr>
          <w:rFonts w:asciiTheme="minorHAnsi" w:hAnsiTheme="minorHAnsi" w:cstheme="minorHAnsi"/>
          <w:sz w:val="22"/>
          <w:szCs w:val="22"/>
        </w:rPr>
        <w:t>.</w:t>
      </w:r>
      <w:r w:rsidR="009A280F" w:rsidRPr="000143A5">
        <w:rPr>
          <w:rFonts w:asciiTheme="minorHAnsi" w:hAnsiTheme="minorHAnsi" w:cstheme="minorHAnsi"/>
          <w:sz w:val="22"/>
          <w:szCs w:val="22"/>
        </w:rPr>
        <w:t xml:space="preserve"> </w:t>
      </w:r>
      <w:r w:rsidR="00DB788F" w:rsidRPr="000143A5">
        <w:rPr>
          <w:rStyle w:val="markedcontent"/>
          <w:rFonts w:asciiTheme="minorHAnsi" w:hAnsiTheme="minorHAnsi" w:cstheme="minorHAnsi"/>
          <w:sz w:val="22"/>
          <w:szCs w:val="22"/>
        </w:rPr>
        <w:t xml:space="preserve">Please see the </w:t>
      </w:r>
      <w:hyperlink r:id="rId14" w:anchor="content,f69d4343-226f-4d37-a2a7-0020bb1b9219" w:history="1">
        <w:r w:rsidR="00DB788F" w:rsidRPr="000143A5">
          <w:rPr>
            <w:rStyle w:val="Hyperlink"/>
            <w:rFonts w:asciiTheme="minorHAnsi" w:hAnsiTheme="minorHAnsi" w:cstheme="minorHAnsi"/>
            <w:sz w:val="22"/>
            <w:szCs w:val="22"/>
          </w:rPr>
          <w:t xml:space="preserve">Guidance for </w:t>
        </w:r>
        <w:r w:rsidR="00E73228" w:rsidRPr="000143A5">
          <w:rPr>
            <w:rStyle w:val="Hyperlink"/>
            <w:rFonts w:asciiTheme="minorHAnsi" w:hAnsiTheme="minorHAnsi" w:cstheme="minorHAnsi"/>
            <w:sz w:val="22"/>
            <w:szCs w:val="22"/>
          </w:rPr>
          <w:t>Hospitalised</w:t>
        </w:r>
        <w:r w:rsidR="00DB788F" w:rsidRPr="000143A5">
          <w:rPr>
            <w:rStyle w:val="Hyperlink"/>
            <w:rFonts w:asciiTheme="minorHAnsi" w:hAnsiTheme="minorHAnsi" w:cstheme="minorHAnsi"/>
            <w:sz w:val="22"/>
            <w:szCs w:val="22"/>
          </w:rPr>
          <w:t xml:space="preserve"> Adults with COVID-19 on Oxygen</w:t>
        </w:r>
      </w:hyperlink>
      <w:r w:rsidR="00DB788F" w:rsidRPr="000143A5">
        <w:rPr>
          <w:rStyle w:val="markedcontent"/>
          <w:rFonts w:asciiTheme="minorHAnsi" w:hAnsiTheme="minorHAnsi" w:cstheme="minorHAnsi"/>
          <w:sz w:val="22"/>
          <w:szCs w:val="22"/>
        </w:rPr>
        <w:t xml:space="preserve">. </w:t>
      </w:r>
    </w:p>
    <w:p w14:paraId="5F5E4C85" w14:textId="210E115E" w:rsidR="003545ED" w:rsidRPr="000143A5" w:rsidRDefault="003545ED" w:rsidP="009A280F">
      <w:pPr>
        <w:autoSpaceDE w:val="0"/>
        <w:autoSpaceDN w:val="0"/>
        <w:adjustRightInd w:val="0"/>
        <w:spacing w:before="120"/>
        <w:rPr>
          <w:rFonts w:asciiTheme="minorHAnsi" w:hAnsiTheme="minorHAnsi" w:cstheme="minorHAnsi"/>
          <w:sz w:val="22"/>
          <w:szCs w:val="22"/>
        </w:rPr>
      </w:pPr>
      <w:r w:rsidRPr="000143A5">
        <w:rPr>
          <w:rFonts w:asciiTheme="minorHAnsi" w:hAnsiTheme="minorHAnsi" w:cstheme="minorHAnsi"/>
          <w:sz w:val="22"/>
          <w:szCs w:val="22"/>
        </w:rPr>
        <w:t xml:space="preserve">All the patients </w:t>
      </w:r>
      <w:r w:rsidR="009A280F" w:rsidRPr="000143A5">
        <w:rPr>
          <w:rFonts w:asciiTheme="minorHAnsi" w:eastAsiaTheme="minorHAnsi" w:hAnsiTheme="minorHAnsi" w:cstheme="minorHAnsi"/>
          <w:color w:val="000000"/>
          <w:sz w:val="22"/>
          <w:szCs w:val="22"/>
          <w:lang w:eastAsia="en-US"/>
        </w:rPr>
        <w:t>hospitalised for acute COVID-19 illness (Group 1)</w:t>
      </w:r>
      <w:r w:rsidRPr="000143A5">
        <w:rPr>
          <w:rFonts w:asciiTheme="minorHAnsi" w:hAnsiTheme="minorHAnsi" w:cstheme="minorHAnsi"/>
          <w:sz w:val="22"/>
          <w:szCs w:val="22"/>
        </w:rPr>
        <w:t xml:space="preserve"> should be offered the </w:t>
      </w:r>
      <w:r w:rsidR="001125B7" w:rsidRPr="000143A5">
        <w:rPr>
          <w:rFonts w:asciiTheme="minorHAnsi" w:hAnsiTheme="minorHAnsi" w:cstheme="minorHAnsi"/>
          <w:sz w:val="22"/>
          <w:szCs w:val="22"/>
        </w:rPr>
        <w:t>opportunity</w:t>
      </w:r>
      <w:r w:rsidRPr="000143A5">
        <w:rPr>
          <w:rFonts w:asciiTheme="minorHAnsi" w:hAnsiTheme="minorHAnsi" w:cstheme="minorHAnsi"/>
          <w:sz w:val="22"/>
          <w:szCs w:val="22"/>
        </w:rPr>
        <w:t xml:space="preserve"> to take part in the </w:t>
      </w:r>
      <w:r w:rsidR="00F43696" w:rsidRPr="000143A5">
        <w:rPr>
          <w:rFonts w:asciiTheme="minorHAnsi" w:hAnsiTheme="minorHAnsi" w:cstheme="minorHAnsi"/>
          <w:sz w:val="22"/>
          <w:szCs w:val="22"/>
        </w:rPr>
        <w:t>RECOVERY</w:t>
      </w:r>
      <w:r w:rsidRPr="000143A5">
        <w:rPr>
          <w:rFonts w:asciiTheme="minorHAnsi" w:hAnsiTheme="minorHAnsi" w:cstheme="minorHAnsi"/>
          <w:sz w:val="22"/>
          <w:szCs w:val="22"/>
        </w:rPr>
        <w:t xml:space="preserve"> </w:t>
      </w:r>
      <w:r w:rsidR="00F43696" w:rsidRPr="000143A5">
        <w:rPr>
          <w:rFonts w:asciiTheme="minorHAnsi" w:hAnsiTheme="minorHAnsi" w:cstheme="minorHAnsi"/>
          <w:sz w:val="22"/>
          <w:szCs w:val="22"/>
        </w:rPr>
        <w:t>t</w:t>
      </w:r>
      <w:r w:rsidRPr="000143A5">
        <w:rPr>
          <w:rFonts w:asciiTheme="minorHAnsi" w:hAnsiTheme="minorHAnsi" w:cstheme="minorHAnsi"/>
          <w:sz w:val="22"/>
          <w:szCs w:val="22"/>
        </w:rPr>
        <w:t>rial if available.</w:t>
      </w:r>
    </w:p>
    <w:p w14:paraId="3FAA79A9" w14:textId="77777777" w:rsidR="00C0713E" w:rsidRPr="000143A5" w:rsidRDefault="00C0713E" w:rsidP="00C0713E">
      <w:pPr>
        <w:pStyle w:val="NormalWeb"/>
        <w:shd w:val="clear" w:color="auto" w:fill="FFFFFF"/>
        <w:spacing w:before="0" w:beforeAutospacing="0" w:after="0" w:afterAutospacing="0"/>
        <w:rPr>
          <w:rFonts w:asciiTheme="minorHAnsi" w:hAnsiTheme="minorHAnsi" w:cstheme="minorHAnsi"/>
          <w:b/>
          <w:sz w:val="22"/>
          <w:szCs w:val="22"/>
        </w:rPr>
      </w:pPr>
    </w:p>
    <w:p w14:paraId="5865DC76" w14:textId="77777777" w:rsidR="00E73228" w:rsidRPr="000143A5" w:rsidRDefault="00E73228" w:rsidP="006B3CF8">
      <w:pPr>
        <w:autoSpaceDE w:val="0"/>
        <w:autoSpaceDN w:val="0"/>
        <w:adjustRightInd w:val="0"/>
        <w:spacing w:before="120"/>
        <w:rPr>
          <w:rFonts w:asciiTheme="minorHAnsi" w:eastAsiaTheme="minorHAnsi" w:hAnsiTheme="minorHAnsi" w:cstheme="minorHAnsi"/>
          <w:b/>
          <w:bCs/>
          <w:color w:val="000000"/>
          <w:sz w:val="22"/>
          <w:szCs w:val="22"/>
          <w:lang w:eastAsia="en-US"/>
        </w:rPr>
      </w:pPr>
    </w:p>
    <w:p w14:paraId="4A68797D" w14:textId="610D5AEB" w:rsidR="00E73B6D" w:rsidRPr="000143A5" w:rsidRDefault="00E73B6D" w:rsidP="006B3CF8">
      <w:pPr>
        <w:autoSpaceDE w:val="0"/>
        <w:autoSpaceDN w:val="0"/>
        <w:adjustRightInd w:val="0"/>
        <w:spacing w:before="120"/>
        <w:rPr>
          <w:rFonts w:asciiTheme="minorHAnsi" w:eastAsiaTheme="minorHAnsi" w:hAnsiTheme="minorHAnsi" w:cstheme="minorHAnsi"/>
          <w:color w:val="000000"/>
          <w:sz w:val="22"/>
          <w:szCs w:val="22"/>
          <w:u w:val="single"/>
          <w:lang w:eastAsia="en-US"/>
        </w:rPr>
      </w:pPr>
      <w:r w:rsidRPr="000143A5">
        <w:rPr>
          <w:rFonts w:asciiTheme="minorHAnsi" w:eastAsiaTheme="minorHAnsi" w:hAnsiTheme="minorHAnsi" w:cstheme="minorHAnsi"/>
          <w:b/>
          <w:bCs/>
          <w:color w:val="000000"/>
          <w:sz w:val="22"/>
          <w:szCs w:val="22"/>
          <w:u w:val="single"/>
          <w:lang w:eastAsia="en-US"/>
        </w:rPr>
        <w:t>Patients with hospital-onset COVID-19</w:t>
      </w:r>
      <w:r w:rsidR="007D4B14" w:rsidRPr="000143A5">
        <w:rPr>
          <w:rFonts w:asciiTheme="minorHAnsi" w:eastAsiaTheme="minorHAnsi" w:hAnsiTheme="minorHAnsi" w:cstheme="minorHAnsi"/>
          <w:b/>
          <w:bCs/>
          <w:color w:val="000000"/>
          <w:sz w:val="22"/>
          <w:szCs w:val="22"/>
          <w:u w:val="single"/>
          <w:lang w:eastAsia="en-US"/>
        </w:rPr>
        <w:t xml:space="preserve"> or COVID-19 positive on admission but hospitalised for another </w:t>
      </w:r>
      <w:r w:rsidR="001125B7" w:rsidRPr="000143A5">
        <w:rPr>
          <w:rFonts w:asciiTheme="minorHAnsi" w:eastAsiaTheme="minorHAnsi" w:hAnsiTheme="minorHAnsi" w:cstheme="minorHAnsi"/>
          <w:b/>
          <w:bCs/>
          <w:color w:val="000000"/>
          <w:sz w:val="22"/>
          <w:szCs w:val="22"/>
          <w:u w:val="single"/>
          <w:lang w:eastAsia="en-US"/>
        </w:rPr>
        <w:t>condition (</w:t>
      </w:r>
      <w:r w:rsidR="00B225B4" w:rsidRPr="000143A5">
        <w:rPr>
          <w:rFonts w:asciiTheme="minorHAnsi" w:eastAsiaTheme="minorHAnsi" w:hAnsiTheme="minorHAnsi" w:cstheme="minorHAnsi"/>
          <w:b/>
          <w:color w:val="000000"/>
          <w:sz w:val="22"/>
          <w:szCs w:val="22"/>
          <w:u w:val="single"/>
          <w:lang w:eastAsia="en-US"/>
        </w:rPr>
        <w:t>Group 2)</w:t>
      </w:r>
    </w:p>
    <w:p w14:paraId="25098B73" w14:textId="3A21E033" w:rsidR="006515A2" w:rsidRPr="005C5C72" w:rsidRDefault="006515A2" w:rsidP="006B3CF8">
      <w:pPr>
        <w:spacing w:before="120"/>
        <w:rPr>
          <w:rStyle w:val="markedcontent"/>
          <w:rFonts w:asciiTheme="minorHAnsi" w:hAnsiTheme="minorHAnsi" w:cstheme="minorHAnsi"/>
          <w:sz w:val="22"/>
          <w:szCs w:val="22"/>
        </w:rPr>
      </w:pPr>
      <w:r w:rsidRPr="000143A5">
        <w:rPr>
          <w:rFonts w:asciiTheme="minorHAnsi" w:hAnsiTheme="minorHAnsi" w:cstheme="minorHAnsi"/>
          <w:sz w:val="22"/>
          <w:szCs w:val="22"/>
        </w:rPr>
        <w:lastRenderedPageBreak/>
        <w:t>When a patient in hospital acquires COVID-19 infection</w:t>
      </w:r>
      <w:r w:rsidR="007D4B14" w:rsidRPr="000143A5">
        <w:rPr>
          <w:rFonts w:asciiTheme="minorHAnsi" w:hAnsiTheme="minorHAnsi" w:cstheme="minorHAnsi"/>
          <w:sz w:val="22"/>
          <w:szCs w:val="22"/>
        </w:rPr>
        <w:t xml:space="preserve"> or is admitted with COVID-19</w:t>
      </w:r>
      <w:r w:rsidRPr="000143A5">
        <w:rPr>
          <w:rFonts w:asciiTheme="minorHAnsi" w:hAnsiTheme="minorHAnsi" w:cstheme="minorHAnsi"/>
          <w:sz w:val="22"/>
          <w:szCs w:val="22"/>
        </w:rPr>
        <w:t xml:space="preserve"> but is not unwell enough to need hospital treatment for COVID-19 disease</w:t>
      </w:r>
      <w:r w:rsidR="007D4B14" w:rsidRPr="000143A5">
        <w:rPr>
          <w:rFonts w:asciiTheme="minorHAnsi" w:hAnsiTheme="minorHAnsi" w:cstheme="minorHAnsi"/>
          <w:sz w:val="22"/>
          <w:szCs w:val="22"/>
        </w:rPr>
        <w:t>,</w:t>
      </w:r>
      <w:r w:rsidRPr="000143A5">
        <w:rPr>
          <w:rFonts w:asciiTheme="minorHAnsi" w:hAnsiTheme="minorHAnsi" w:cstheme="minorHAnsi"/>
          <w:sz w:val="22"/>
          <w:szCs w:val="22"/>
        </w:rPr>
        <w:t xml:space="preserve"> they may be eligible for </w:t>
      </w:r>
      <w:r w:rsidR="00962082" w:rsidRPr="000143A5">
        <w:rPr>
          <w:rFonts w:asciiTheme="minorHAnsi" w:hAnsiTheme="minorHAnsi" w:cstheme="minorHAnsi"/>
          <w:sz w:val="22"/>
          <w:szCs w:val="22"/>
        </w:rPr>
        <w:t xml:space="preserve">treatment with </w:t>
      </w:r>
      <w:r w:rsidR="003C1506" w:rsidRPr="000143A5">
        <w:rPr>
          <w:rFonts w:asciiTheme="minorHAnsi" w:hAnsiTheme="minorHAnsi" w:cstheme="minorHAnsi"/>
          <w:sz w:val="22"/>
          <w:szCs w:val="22"/>
        </w:rPr>
        <w:t>first line PF-07321332 (nirmatrelvir) plus ritonavir (Paxlovid</w:t>
      </w:r>
      <w:r w:rsidRPr="000143A5">
        <w:rPr>
          <w:rStyle w:val="markedcontent"/>
          <w:rFonts w:asciiTheme="minorHAnsi" w:hAnsiTheme="minorHAnsi" w:cstheme="minorHAnsi"/>
          <w:sz w:val="22"/>
          <w:szCs w:val="22"/>
        </w:rPr>
        <w:t>®</w:t>
      </w:r>
      <w:r w:rsidR="003C1506" w:rsidRPr="000143A5">
        <w:rPr>
          <w:rStyle w:val="markedcontent"/>
          <w:rFonts w:asciiTheme="minorHAnsi" w:hAnsiTheme="minorHAnsi" w:cstheme="minorHAnsi"/>
          <w:sz w:val="22"/>
          <w:szCs w:val="22"/>
        </w:rPr>
        <w:t>)</w:t>
      </w:r>
      <w:r w:rsidR="00B5539F" w:rsidRPr="000143A5">
        <w:rPr>
          <w:rStyle w:val="markedcontent"/>
          <w:rFonts w:asciiTheme="minorHAnsi" w:hAnsiTheme="minorHAnsi" w:cstheme="minorHAnsi"/>
          <w:sz w:val="22"/>
          <w:szCs w:val="22"/>
        </w:rPr>
        <w:t xml:space="preserve"> orally 300/100mg BD for 5 days</w:t>
      </w:r>
      <w:r w:rsidR="003C1506" w:rsidRPr="000143A5">
        <w:rPr>
          <w:rStyle w:val="markedcontent"/>
          <w:rFonts w:asciiTheme="minorHAnsi" w:hAnsiTheme="minorHAnsi" w:cstheme="minorHAnsi"/>
          <w:sz w:val="22"/>
          <w:szCs w:val="22"/>
        </w:rPr>
        <w:t>, second line remdesivir IV infusion for 3 days or</w:t>
      </w:r>
      <w:r w:rsidR="004E3C57" w:rsidRPr="000143A5">
        <w:rPr>
          <w:rStyle w:val="markedcontent"/>
          <w:rFonts w:asciiTheme="minorHAnsi" w:hAnsiTheme="minorHAnsi" w:cstheme="minorHAnsi"/>
          <w:sz w:val="22"/>
          <w:szCs w:val="22"/>
        </w:rPr>
        <w:t xml:space="preserve"> </w:t>
      </w:r>
      <w:r w:rsidR="003C1506" w:rsidRPr="000143A5">
        <w:rPr>
          <w:rStyle w:val="markedcontent"/>
          <w:rFonts w:asciiTheme="minorHAnsi" w:hAnsiTheme="minorHAnsi" w:cstheme="minorHAnsi"/>
          <w:sz w:val="22"/>
          <w:szCs w:val="22"/>
        </w:rPr>
        <w:t xml:space="preserve">third line </w:t>
      </w:r>
      <w:r w:rsidR="00A118D0" w:rsidRPr="000143A5">
        <w:rPr>
          <w:rStyle w:val="markedcontent"/>
          <w:rFonts w:asciiTheme="minorHAnsi" w:hAnsiTheme="minorHAnsi" w:cstheme="minorHAnsi"/>
          <w:sz w:val="22"/>
          <w:szCs w:val="22"/>
        </w:rPr>
        <w:t>s</w:t>
      </w:r>
      <w:r w:rsidR="009D22F0" w:rsidRPr="000143A5">
        <w:rPr>
          <w:rStyle w:val="markedcontent"/>
          <w:rFonts w:asciiTheme="minorHAnsi" w:hAnsiTheme="minorHAnsi" w:cstheme="minorHAnsi"/>
          <w:sz w:val="22"/>
          <w:szCs w:val="22"/>
        </w:rPr>
        <w:t>otrovimab</w:t>
      </w:r>
      <w:r w:rsidR="00017AEB" w:rsidRPr="000143A5">
        <w:rPr>
          <w:rStyle w:val="markedcontent"/>
          <w:rFonts w:asciiTheme="minorHAnsi" w:hAnsiTheme="minorHAnsi" w:cstheme="minorHAnsi"/>
          <w:sz w:val="22"/>
          <w:szCs w:val="22"/>
        </w:rPr>
        <w:t xml:space="preserve"> 500mg single IV </w:t>
      </w:r>
      <w:r w:rsidR="00017AEB" w:rsidRPr="005C5C72">
        <w:rPr>
          <w:rStyle w:val="markedcontent"/>
          <w:rFonts w:asciiTheme="minorHAnsi" w:hAnsiTheme="minorHAnsi" w:cstheme="minorHAnsi"/>
          <w:sz w:val="22"/>
          <w:szCs w:val="22"/>
        </w:rPr>
        <w:t>infusion</w:t>
      </w:r>
      <w:r w:rsidR="000143A5" w:rsidRPr="005C5C72">
        <w:rPr>
          <w:rStyle w:val="markedcontent"/>
          <w:rFonts w:asciiTheme="minorHAnsi" w:hAnsiTheme="minorHAnsi" w:cstheme="minorHAnsi"/>
          <w:sz w:val="22"/>
          <w:szCs w:val="22"/>
        </w:rPr>
        <w:t xml:space="preserve"> (with MDT approval).</w:t>
      </w:r>
    </w:p>
    <w:p w14:paraId="14D163C7" w14:textId="190D2017" w:rsidR="000143A5" w:rsidRPr="005C5C72" w:rsidRDefault="000143A5" w:rsidP="000143A5">
      <w:pPr>
        <w:autoSpaceDE w:val="0"/>
        <w:autoSpaceDN w:val="0"/>
        <w:adjustRightInd w:val="0"/>
        <w:spacing w:before="120"/>
        <w:rPr>
          <w:rFonts w:asciiTheme="minorHAnsi" w:hAnsiTheme="minorHAnsi" w:cstheme="minorHAnsi"/>
          <w:sz w:val="22"/>
          <w:szCs w:val="22"/>
        </w:rPr>
      </w:pPr>
      <w:r w:rsidRPr="005C5C72">
        <w:rPr>
          <w:rFonts w:asciiTheme="minorHAnsi" w:hAnsiTheme="minorHAnsi" w:cstheme="minorHAnsi"/>
          <w:sz w:val="22"/>
          <w:szCs w:val="22"/>
        </w:rPr>
        <w:t xml:space="preserve">If the patient experiences clinical deterioration such that hospitalisation and supplemental oxygen is required, the patient may be considered for treatment under the </w:t>
      </w:r>
      <w:hyperlink r:id="rId15" w:anchor="content,f69d4343-226f-4d37-a2a7-0020bb1b9219" w:history="1">
        <w:r w:rsidRPr="005C5C72">
          <w:rPr>
            <w:rStyle w:val="Hyperlink"/>
            <w:rFonts w:asciiTheme="minorHAnsi" w:hAnsiTheme="minorHAnsi" w:cstheme="minorHAnsi"/>
            <w:sz w:val="22"/>
            <w:szCs w:val="22"/>
          </w:rPr>
          <w:t>Guidance for Hospitalised Adults with COVID-19 on Oxygen</w:t>
        </w:r>
      </w:hyperlink>
      <w:r w:rsidRPr="005C5C72">
        <w:rPr>
          <w:rStyle w:val="markedcontent"/>
          <w:rFonts w:asciiTheme="minorHAnsi" w:hAnsiTheme="minorHAnsi" w:cstheme="minorHAnsi"/>
          <w:sz w:val="22"/>
          <w:szCs w:val="22"/>
        </w:rPr>
        <w:t xml:space="preserve">. </w:t>
      </w:r>
    </w:p>
    <w:p w14:paraId="6E11C82A" w14:textId="243BF39F" w:rsidR="000143A5" w:rsidRPr="005C5C72" w:rsidRDefault="000143A5" w:rsidP="006B3CF8">
      <w:pPr>
        <w:spacing w:before="120"/>
        <w:rPr>
          <w:rFonts w:asciiTheme="minorHAnsi" w:hAnsiTheme="minorHAnsi" w:cstheme="minorHAnsi"/>
          <w:sz w:val="22"/>
          <w:szCs w:val="22"/>
        </w:rPr>
      </w:pPr>
    </w:p>
    <w:p w14:paraId="7A3788D9" w14:textId="77777777" w:rsidR="00E73B6D" w:rsidRPr="005C5C72" w:rsidRDefault="00E73B6D" w:rsidP="006B3CF8">
      <w:pPr>
        <w:spacing w:before="120"/>
        <w:rPr>
          <w:rFonts w:asciiTheme="minorHAnsi" w:hAnsiTheme="minorHAnsi" w:cstheme="minorHAnsi"/>
          <w:sz w:val="22"/>
          <w:szCs w:val="22"/>
        </w:rPr>
      </w:pPr>
      <w:r w:rsidRPr="005C5C72">
        <w:rPr>
          <w:rFonts w:asciiTheme="minorHAnsi" w:hAnsiTheme="minorHAnsi" w:cstheme="minorHAnsi"/>
          <w:sz w:val="22"/>
          <w:szCs w:val="22"/>
        </w:rPr>
        <w:t>Patients must meet</w:t>
      </w:r>
      <w:r w:rsidRPr="005C5C72">
        <w:rPr>
          <w:rFonts w:asciiTheme="minorHAnsi" w:hAnsiTheme="minorHAnsi" w:cstheme="minorHAnsi"/>
          <w:bCs/>
          <w:sz w:val="22"/>
          <w:szCs w:val="22"/>
        </w:rPr>
        <w:t xml:space="preserve"> </w:t>
      </w:r>
      <w:r w:rsidRPr="005C5C72">
        <w:rPr>
          <w:rFonts w:asciiTheme="minorHAnsi" w:hAnsiTheme="minorHAnsi" w:cstheme="minorHAnsi"/>
          <w:b/>
          <w:bCs/>
          <w:sz w:val="22"/>
          <w:szCs w:val="22"/>
          <w:u w:val="single"/>
        </w:rPr>
        <w:t>all</w:t>
      </w:r>
      <w:r w:rsidRPr="005C5C72">
        <w:rPr>
          <w:rFonts w:asciiTheme="minorHAnsi" w:hAnsiTheme="minorHAnsi" w:cstheme="minorHAnsi"/>
          <w:sz w:val="22"/>
          <w:szCs w:val="22"/>
        </w:rPr>
        <w:t xml:space="preserve"> of the following </w:t>
      </w:r>
      <w:r w:rsidRPr="005C5C72">
        <w:rPr>
          <w:rFonts w:asciiTheme="minorHAnsi" w:hAnsiTheme="minorHAnsi" w:cstheme="minorHAnsi"/>
          <w:b/>
          <w:bCs/>
          <w:sz w:val="22"/>
          <w:szCs w:val="22"/>
        </w:rPr>
        <w:t>inclusion criteria</w:t>
      </w:r>
      <w:r w:rsidR="00B225B4" w:rsidRPr="005C5C72">
        <w:rPr>
          <w:rFonts w:asciiTheme="minorHAnsi" w:hAnsiTheme="minorHAnsi" w:cstheme="minorHAnsi"/>
          <w:b/>
          <w:bCs/>
          <w:sz w:val="22"/>
          <w:szCs w:val="22"/>
        </w:rPr>
        <w:t xml:space="preserve"> </w:t>
      </w:r>
      <w:r w:rsidR="00B225B4" w:rsidRPr="005C5C72">
        <w:rPr>
          <w:rFonts w:asciiTheme="minorHAnsi" w:hAnsiTheme="minorHAnsi" w:cstheme="minorHAnsi"/>
          <w:bCs/>
          <w:sz w:val="22"/>
          <w:szCs w:val="22"/>
        </w:rPr>
        <w:t>and none of the exclusion criteria</w:t>
      </w:r>
      <w:r w:rsidR="00B225B4" w:rsidRPr="005C5C72">
        <w:rPr>
          <w:rFonts w:asciiTheme="minorHAnsi" w:hAnsiTheme="minorHAnsi" w:cstheme="minorHAnsi"/>
          <w:b/>
          <w:bCs/>
          <w:sz w:val="22"/>
          <w:szCs w:val="22"/>
        </w:rPr>
        <w:t>:</w:t>
      </w:r>
    </w:p>
    <w:p w14:paraId="3F89F760" w14:textId="483E55FF" w:rsidR="009D22F0" w:rsidRPr="005C5C72" w:rsidRDefault="00E73B6D" w:rsidP="009A280F">
      <w:pPr>
        <w:pStyle w:val="ListParagraph"/>
        <w:numPr>
          <w:ilvl w:val="0"/>
          <w:numId w:val="4"/>
        </w:numPr>
        <w:spacing w:before="120" w:after="0" w:line="240" w:lineRule="auto"/>
        <w:rPr>
          <w:rFonts w:cstheme="minorHAnsi"/>
        </w:rPr>
      </w:pPr>
      <w:r w:rsidRPr="005C5C72">
        <w:rPr>
          <w:rFonts w:cstheme="minorHAnsi"/>
        </w:rPr>
        <w:t>SARS-CoV-2 infection confirmed by PCR</w:t>
      </w:r>
      <w:r w:rsidR="009A280F" w:rsidRPr="005C5C72">
        <w:rPr>
          <w:rFonts w:cstheme="minorHAnsi"/>
        </w:rPr>
        <w:t xml:space="preserve"> or LFT</w:t>
      </w:r>
      <w:r w:rsidR="0081534A" w:rsidRPr="005C5C72">
        <w:rPr>
          <w:rFonts w:cstheme="minorHAnsi"/>
        </w:rPr>
        <w:t>. In</w:t>
      </w:r>
      <w:r w:rsidR="009A280F" w:rsidRPr="005C5C72">
        <w:rPr>
          <w:rFonts w:cstheme="minorHAnsi"/>
        </w:rPr>
        <w:t xml:space="preserve"> the case of a LFT</w:t>
      </w:r>
      <w:r w:rsidR="0081534A" w:rsidRPr="005C5C72">
        <w:rPr>
          <w:rFonts w:cstheme="minorHAnsi"/>
        </w:rPr>
        <w:t xml:space="preserve"> result only a confirmatory PCR test is recommended to support surveillance activities</w:t>
      </w:r>
      <w:r w:rsidR="00B5539F" w:rsidRPr="005C5C72">
        <w:rPr>
          <w:rFonts w:cstheme="minorHAnsi"/>
        </w:rPr>
        <w:t>.</w:t>
      </w:r>
    </w:p>
    <w:p w14:paraId="2AE3F22C" w14:textId="786A25F4" w:rsidR="00B5539F" w:rsidRPr="005C5C72" w:rsidRDefault="00B5539F" w:rsidP="009A280F">
      <w:pPr>
        <w:pStyle w:val="ListParagraph"/>
        <w:numPr>
          <w:ilvl w:val="0"/>
          <w:numId w:val="4"/>
        </w:numPr>
        <w:spacing w:before="120" w:after="0" w:line="240" w:lineRule="auto"/>
        <w:rPr>
          <w:rFonts w:cstheme="minorHAnsi"/>
        </w:rPr>
      </w:pPr>
      <w:r w:rsidRPr="005C5C72">
        <w:rPr>
          <w:rFonts w:cstheme="minorHAnsi"/>
        </w:rPr>
        <w:t>Symptomatic</w:t>
      </w:r>
      <w:r w:rsidR="009A280F" w:rsidRPr="005C5C72">
        <w:rPr>
          <w:rStyle w:val="FootnoteReference"/>
          <w:rFonts w:cstheme="minorHAnsi"/>
        </w:rPr>
        <w:footnoteReference w:id="1"/>
      </w:r>
      <w:r w:rsidRPr="005C5C72">
        <w:rPr>
          <w:rFonts w:cstheme="minorHAnsi"/>
        </w:rPr>
        <w:t xml:space="preserve"> with COVID-19 and showing no signs of clinical recovery.</w:t>
      </w:r>
    </w:p>
    <w:p w14:paraId="05CE42BA" w14:textId="77777777" w:rsidR="00B5539F" w:rsidRPr="005C5C72" w:rsidRDefault="00B5539F" w:rsidP="009A280F">
      <w:pPr>
        <w:pStyle w:val="ListParagraph"/>
        <w:numPr>
          <w:ilvl w:val="0"/>
          <w:numId w:val="4"/>
        </w:numPr>
        <w:spacing w:before="120" w:after="0" w:line="240" w:lineRule="auto"/>
        <w:rPr>
          <w:rFonts w:cstheme="minorHAnsi"/>
          <w:b/>
        </w:rPr>
      </w:pPr>
      <w:r w:rsidRPr="005C5C72">
        <w:rPr>
          <w:rFonts w:cstheme="minorHAnsi"/>
        </w:rPr>
        <w:t>The patient meets one of the following options:</w:t>
      </w:r>
    </w:p>
    <w:p w14:paraId="54E28AA6" w14:textId="21558B74" w:rsidR="009D22F0" w:rsidRPr="005C5C72" w:rsidRDefault="009D22F0" w:rsidP="009A280F">
      <w:pPr>
        <w:pStyle w:val="ListParagraph"/>
        <w:numPr>
          <w:ilvl w:val="1"/>
          <w:numId w:val="4"/>
        </w:numPr>
        <w:spacing w:before="120" w:after="0" w:line="240" w:lineRule="auto"/>
        <w:rPr>
          <w:rFonts w:cstheme="minorHAnsi"/>
        </w:rPr>
      </w:pPr>
      <w:r w:rsidRPr="005C5C72">
        <w:rPr>
          <w:rFonts w:cstheme="minorHAnsi"/>
        </w:rPr>
        <w:t xml:space="preserve">Member of the </w:t>
      </w:r>
      <w:r w:rsidR="00B5539F" w:rsidRPr="005C5C72">
        <w:rPr>
          <w:rFonts w:cstheme="minorHAnsi"/>
        </w:rPr>
        <w:t>‘</w:t>
      </w:r>
      <w:r w:rsidRPr="005C5C72">
        <w:rPr>
          <w:rFonts w:cstheme="minorHAnsi"/>
        </w:rPr>
        <w:t>highest risk</w:t>
      </w:r>
      <w:r w:rsidR="00B5539F" w:rsidRPr="005C5C72">
        <w:rPr>
          <w:rFonts w:cstheme="minorHAnsi"/>
        </w:rPr>
        <w:t>’</w:t>
      </w:r>
      <w:r w:rsidRPr="005C5C72">
        <w:rPr>
          <w:rFonts w:cstheme="minorHAnsi"/>
        </w:rPr>
        <w:t xml:space="preserve"> group (</w:t>
      </w:r>
      <w:r w:rsidR="00A94403" w:rsidRPr="005C5C72">
        <w:rPr>
          <w:rFonts w:cstheme="minorHAnsi"/>
        </w:rPr>
        <w:t>a</w:t>
      </w:r>
      <w:r w:rsidR="00E73228" w:rsidRPr="005C5C72">
        <w:rPr>
          <w:rFonts w:cstheme="minorHAnsi"/>
        </w:rPr>
        <w:t>ppendix 1</w:t>
      </w:r>
      <w:r w:rsidRPr="005C5C72">
        <w:rPr>
          <w:rFonts w:cstheme="minorHAnsi"/>
        </w:rPr>
        <w:t>)</w:t>
      </w:r>
      <w:r w:rsidR="00E57021" w:rsidRPr="005C5C72">
        <w:rPr>
          <w:rFonts w:cstheme="minorHAnsi"/>
        </w:rPr>
        <w:t>.</w:t>
      </w:r>
    </w:p>
    <w:p w14:paraId="11EDDB2C" w14:textId="77777777" w:rsidR="00B225B4" w:rsidRPr="005C5C72" w:rsidRDefault="00E73B6D" w:rsidP="009A280F">
      <w:pPr>
        <w:pStyle w:val="ListParagraph"/>
        <w:numPr>
          <w:ilvl w:val="0"/>
          <w:numId w:val="20"/>
        </w:numPr>
        <w:spacing w:before="120" w:after="0" w:line="240" w:lineRule="auto"/>
        <w:rPr>
          <w:rFonts w:cstheme="minorHAnsi"/>
        </w:rPr>
      </w:pPr>
      <w:r w:rsidRPr="005C5C72">
        <w:rPr>
          <w:rFonts w:cstheme="minorHAnsi"/>
        </w:rPr>
        <w:t>COVID-19 infection presents a material risk of destabilising a pre-existing condition or illness or compromising recovery from surgery or other hospital procedure, determined by MDT assessment (</w:t>
      </w:r>
      <w:r w:rsidR="00632826" w:rsidRPr="005C5C72">
        <w:rPr>
          <w:rFonts w:cstheme="minorHAnsi"/>
        </w:rPr>
        <w:t>see below f</w:t>
      </w:r>
      <w:r w:rsidRPr="005C5C72">
        <w:rPr>
          <w:rFonts w:cstheme="minorHAnsi"/>
        </w:rPr>
        <w:t>o</w:t>
      </w:r>
      <w:r w:rsidR="00632826" w:rsidRPr="005C5C72">
        <w:rPr>
          <w:rFonts w:cstheme="minorHAnsi"/>
        </w:rPr>
        <w:t>r</w:t>
      </w:r>
      <w:r w:rsidRPr="005C5C72">
        <w:rPr>
          <w:rFonts w:cstheme="minorHAnsi"/>
        </w:rPr>
        <w:t xml:space="preserve"> members).</w:t>
      </w:r>
    </w:p>
    <w:p w14:paraId="021A6E7F" w14:textId="1A239FA3" w:rsidR="00E73228" w:rsidRPr="005C5C72" w:rsidRDefault="00E73228" w:rsidP="00EA6EE5">
      <w:pPr>
        <w:pStyle w:val="ListParagraph"/>
        <w:spacing w:before="120" w:line="240" w:lineRule="auto"/>
        <w:ind w:left="0"/>
        <w:rPr>
          <w:rFonts w:cstheme="minorHAnsi"/>
          <w:b/>
        </w:rPr>
      </w:pPr>
    </w:p>
    <w:p w14:paraId="64255658" w14:textId="77D00345" w:rsidR="00B225B4" w:rsidRPr="005C5C72" w:rsidRDefault="00332C22" w:rsidP="00EA6EE5">
      <w:pPr>
        <w:pStyle w:val="ListParagraph"/>
        <w:spacing w:before="120" w:line="240" w:lineRule="auto"/>
        <w:ind w:left="0"/>
        <w:rPr>
          <w:rFonts w:cstheme="minorHAnsi"/>
          <w:b/>
          <w:color w:val="000000"/>
          <w:u w:val="single"/>
        </w:rPr>
      </w:pPr>
      <w:r w:rsidRPr="005C5C72">
        <w:rPr>
          <w:rFonts w:cstheme="minorHAnsi"/>
          <w:b/>
          <w:u w:val="single"/>
        </w:rPr>
        <w:t>Treatment c</w:t>
      </w:r>
      <w:r w:rsidR="00EA6EE5" w:rsidRPr="005C5C72">
        <w:rPr>
          <w:rFonts w:cstheme="minorHAnsi"/>
          <w:b/>
          <w:u w:val="single"/>
        </w:rPr>
        <w:t xml:space="preserve">hoices </w:t>
      </w:r>
      <w:r w:rsidR="00B225B4" w:rsidRPr="005C5C72">
        <w:rPr>
          <w:rFonts w:cstheme="minorHAnsi"/>
          <w:b/>
          <w:u w:val="single"/>
        </w:rPr>
        <w:t xml:space="preserve">for </w:t>
      </w:r>
      <w:r w:rsidR="00B225B4" w:rsidRPr="005C5C72">
        <w:rPr>
          <w:rFonts w:cstheme="minorHAnsi"/>
          <w:b/>
          <w:color w:val="000000"/>
          <w:u w:val="single"/>
        </w:rPr>
        <w:t>Group 2</w:t>
      </w:r>
    </w:p>
    <w:tbl>
      <w:tblPr>
        <w:tblStyle w:val="TableGrid"/>
        <w:tblW w:w="10632" w:type="dxa"/>
        <w:tblInd w:w="-714" w:type="dxa"/>
        <w:tblLook w:val="04A0" w:firstRow="1" w:lastRow="0" w:firstColumn="1" w:lastColumn="0" w:noHBand="0" w:noVBand="1"/>
      </w:tblPr>
      <w:tblGrid>
        <w:gridCol w:w="1418"/>
        <w:gridCol w:w="1418"/>
        <w:gridCol w:w="1134"/>
        <w:gridCol w:w="2126"/>
        <w:gridCol w:w="4536"/>
      </w:tblGrid>
      <w:tr w:rsidR="001529DF" w:rsidRPr="005C5C72" w14:paraId="2D86C453" w14:textId="77777777" w:rsidTr="000143A5">
        <w:tc>
          <w:tcPr>
            <w:tcW w:w="1418" w:type="dxa"/>
          </w:tcPr>
          <w:p w14:paraId="076E5DB1" w14:textId="77777777" w:rsidR="00B5539F" w:rsidRPr="005C5C72" w:rsidRDefault="00B5539F" w:rsidP="00EA6EE5">
            <w:pPr>
              <w:rPr>
                <w:rFonts w:asciiTheme="minorHAnsi" w:hAnsiTheme="minorHAnsi" w:cstheme="minorHAnsi"/>
                <w:b/>
                <w:sz w:val="22"/>
                <w:szCs w:val="22"/>
              </w:rPr>
            </w:pPr>
            <w:r w:rsidRPr="005C5C72">
              <w:rPr>
                <w:rFonts w:asciiTheme="minorHAnsi" w:hAnsiTheme="minorHAnsi" w:cstheme="minorHAnsi"/>
                <w:b/>
                <w:sz w:val="22"/>
                <w:szCs w:val="22"/>
              </w:rPr>
              <w:t>Order of preference</w:t>
            </w:r>
          </w:p>
        </w:tc>
        <w:tc>
          <w:tcPr>
            <w:tcW w:w="1418" w:type="dxa"/>
          </w:tcPr>
          <w:p w14:paraId="300CFC1C" w14:textId="77777777" w:rsidR="00B5539F" w:rsidRPr="005C5C72" w:rsidRDefault="00B5539F" w:rsidP="00EA6EE5">
            <w:pPr>
              <w:rPr>
                <w:rFonts w:asciiTheme="minorHAnsi" w:hAnsiTheme="minorHAnsi" w:cstheme="minorHAnsi"/>
                <w:b/>
                <w:sz w:val="22"/>
                <w:szCs w:val="22"/>
              </w:rPr>
            </w:pPr>
            <w:r w:rsidRPr="005C5C72">
              <w:rPr>
                <w:rFonts w:asciiTheme="minorHAnsi" w:hAnsiTheme="minorHAnsi" w:cstheme="minorHAnsi"/>
                <w:b/>
                <w:sz w:val="22"/>
                <w:szCs w:val="22"/>
              </w:rPr>
              <w:t>Drug</w:t>
            </w:r>
          </w:p>
        </w:tc>
        <w:tc>
          <w:tcPr>
            <w:tcW w:w="1134" w:type="dxa"/>
          </w:tcPr>
          <w:p w14:paraId="7D308979" w14:textId="77777777" w:rsidR="00B5539F" w:rsidRPr="005C5C72" w:rsidRDefault="00B5539F" w:rsidP="00EA6EE5">
            <w:pPr>
              <w:rPr>
                <w:rFonts w:asciiTheme="minorHAnsi" w:hAnsiTheme="minorHAnsi" w:cstheme="minorHAnsi"/>
                <w:b/>
                <w:sz w:val="22"/>
                <w:szCs w:val="22"/>
              </w:rPr>
            </w:pPr>
            <w:r w:rsidRPr="005C5C72">
              <w:rPr>
                <w:rFonts w:asciiTheme="minorHAnsi" w:hAnsiTheme="minorHAnsi" w:cstheme="minorHAnsi"/>
                <w:b/>
                <w:sz w:val="22"/>
                <w:szCs w:val="22"/>
              </w:rPr>
              <w:t xml:space="preserve">Symptom </w:t>
            </w:r>
            <w:r w:rsidR="00FF1601" w:rsidRPr="005C5C72">
              <w:rPr>
                <w:rFonts w:asciiTheme="minorHAnsi" w:hAnsiTheme="minorHAnsi" w:cstheme="minorHAnsi"/>
                <w:b/>
                <w:sz w:val="22"/>
                <w:szCs w:val="22"/>
              </w:rPr>
              <w:t>o</w:t>
            </w:r>
            <w:r w:rsidRPr="005C5C72">
              <w:rPr>
                <w:rFonts w:asciiTheme="minorHAnsi" w:hAnsiTheme="minorHAnsi" w:cstheme="minorHAnsi"/>
                <w:b/>
                <w:sz w:val="22"/>
                <w:szCs w:val="22"/>
              </w:rPr>
              <w:t>nset</w:t>
            </w:r>
          </w:p>
        </w:tc>
        <w:tc>
          <w:tcPr>
            <w:tcW w:w="2126" w:type="dxa"/>
          </w:tcPr>
          <w:p w14:paraId="4A16D5DA" w14:textId="77777777" w:rsidR="00B5539F" w:rsidRPr="005C5C72" w:rsidRDefault="00B5539F" w:rsidP="00EA6EE5">
            <w:pPr>
              <w:rPr>
                <w:rFonts w:asciiTheme="minorHAnsi" w:hAnsiTheme="minorHAnsi" w:cstheme="minorHAnsi"/>
                <w:b/>
                <w:sz w:val="22"/>
                <w:szCs w:val="22"/>
              </w:rPr>
            </w:pPr>
            <w:r w:rsidRPr="005C5C72">
              <w:rPr>
                <w:rFonts w:asciiTheme="minorHAnsi" w:hAnsiTheme="minorHAnsi" w:cstheme="minorHAnsi"/>
                <w:b/>
                <w:sz w:val="22"/>
                <w:szCs w:val="22"/>
              </w:rPr>
              <w:t>Dose</w:t>
            </w:r>
          </w:p>
        </w:tc>
        <w:tc>
          <w:tcPr>
            <w:tcW w:w="4536" w:type="dxa"/>
          </w:tcPr>
          <w:p w14:paraId="6916DF70" w14:textId="77777777" w:rsidR="00B5539F" w:rsidRPr="005C5C72" w:rsidRDefault="00B5539F" w:rsidP="00EA6EE5">
            <w:pPr>
              <w:rPr>
                <w:rFonts w:asciiTheme="minorHAnsi" w:hAnsiTheme="minorHAnsi" w:cstheme="minorHAnsi"/>
                <w:b/>
                <w:sz w:val="22"/>
                <w:szCs w:val="22"/>
              </w:rPr>
            </w:pPr>
            <w:r w:rsidRPr="005C5C72">
              <w:rPr>
                <w:rFonts w:asciiTheme="minorHAnsi" w:hAnsiTheme="minorHAnsi" w:cstheme="minorHAnsi"/>
                <w:b/>
                <w:sz w:val="22"/>
                <w:szCs w:val="22"/>
              </w:rPr>
              <w:t>Other information</w:t>
            </w:r>
          </w:p>
        </w:tc>
      </w:tr>
      <w:tr w:rsidR="001529DF" w:rsidRPr="005C5C72" w14:paraId="31F021A7" w14:textId="77777777" w:rsidTr="000143A5">
        <w:tc>
          <w:tcPr>
            <w:tcW w:w="1418" w:type="dxa"/>
          </w:tcPr>
          <w:p w14:paraId="26266890" w14:textId="77777777" w:rsidR="00B5539F" w:rsidRPr="005C5C72" w:rsidRDefault="00B5539F" w:rsidP="00EA6EE5">
            <w:pPr>
              <w:spacing w:after="240"/>
              <w:rPr>
                <w:rFonts w:asciiTheme="minorHAnsi" w:hAnsiTheme="minorHAnsi" w:cstheme="minorHAnsi"/>
                <w:sz w:val="22"/>
                <w:szCs w:val="22"/>
              </w:rPr>
            </w:pPr>
            <w:r w:rsidRPr="005C5C72">
              <w:rPr>
                <w:rFonts w:asciiTheme="minorHAnsi" w:hAnsiTheme="minorHAnsi" w:cstheme="minorHAnsi"/>
                <w:sz w:val="22"/>
                <w:szCs w:val="22"/>
              </w:rPr>
              <w:t>First line</w:t>
            </w:r>
          </w:p>
        </w:tc>
        <w:tc>
          <w:tcPr>
            <w:tcW w:w="1418" w:type="dxa"/>
          </w:tcPr>
          <w:p w14:paraId="2A862FEF" w14:textId="77777777" w:rsidR="00B5539F" w:rsidRPr="005C5C72" w:rsidRDefault="00B5539F" w:rsidP="00EA6EE5">
            <w:pPr>
              <w:spacing w:after="240"/>
              <w:rPr>
                <w:rFonts w:asciiTheme="minorHAnsi" w:hAnsiTheme="minorHAnsi" w:cstheme="minorHAnsi"/>
                <w:sz w:val="22"/>
                <w:szCs w:val="22"/>
              </w:rPr>
            </w:pPr>
            <w:r w:rsidRPr="005C5C72">
              <w:rPr>
                <w:rFonts w:asciiTheme="minorHAnsi" w:hAnsiTheme="minorHAnsi" w:cstheme="minorHAnsi"/>
                <w:sz w:val="22"/>
                <w:szCs w:val="22"/>
              </w:rPr>
              <w:t>PF-07321332 (nirmatrelvir) plus ritonavir (Paxlovid</w:t>
            </w:r>
            <w:r w:rsidRPr="005C5C72">
              <w:rPr>
                <w:rStyle w:val="markedcontent"/>
                <w:rFonts w:asciiTheme="minorHAnsi" w:hAnsiTheme="minorHAnsi" w:cstheme="minorHAnsi"/>
                <w:sz w:val="22"/>
                <w:szCs w:val="22"/>
              </w:rPr>
              <w:t>®</w:t>
            </w:r>
            <w:r w:rsidRPr="005C5C72">
              <w:rPr>
                <w:rFonts w:asciiTheme="minorHAnsi" w:hAnsiTheme="minorHAnsi" w:cstheme="minorHAnsi"/>
                <w:sz w:val="22"/>
                <w:szCs w:val="22"/>
              </w:rPr>
              <w:t>)</w:t>
            </w:r>
          </w:p>
        </w:tc>
        <w:tc>
          <w:tcPr>
            <w:tcW w:w="1134" w:type="dxa"/>
          </w:tcPr>
          <w:p w14:paraId="78E9B292" w14:textId="77777777" w:rsidR="00B5539F" w:rsidRPr="005C5C72" w:rsidRDefault="00FF1601" w:rsidP="00EA6EE5">
            <w:pPr>
              <w:spacing w:after="240"/>
              <w:rPr>
                <w:rFonts w:asciiTheme="minorHAnsi" w:hAnsiTheme="minorHAnsi" w:cstheme="minorHAnsi"/>
                <w:sz w:val="22"/>
                <w:szCs w:val="22"/>
              </w:rPr>
            </w:pPr>
            <w:r w:rsidRPr="005C5C72">
              <w:rPr>
                <w:rFonts w:asciiTheme="minorHAnsi" w:hAnsiTheme="minorHAnsi" w:cstheme="minorHAnsi"/>
                <w:sz w:val="22"/>
                <w:szCs w:val="22"/>
              </w:rPr>
              <w:t xml:space="preserve">≤ </w:t>
            </w:r>
            <w:r w:rsidR="00B5539F" w:rsidRPr="005C5C72">
              <w:rPr>
                <w:rFonts w:asciiTheme="minorHAnsi" w:hAnsiTheme="minorHAnsi" w:cstheme="minorHAnsi"/>
                <w:sz w:val="22"/>
                <w:szCs w:val="22"/>
              </w:rPr>
              <w:t>5 days</w:t>
            </w:r>
            <w:r w:rsidRPr="005C5C72">
              <w:rPr>
                <w:rFonts w:asciiTheme="minorHAnsi" w:hAnsiTheme="minorHAnsi" w:cstheme="minorHAnsi"/>
                <w:sz w:val="22"/>
                <w:szCs w:val="22"/>
              </w:rPr>
              <w:t>*</w:t>
            </w:r>
          </w:p>
        </w:tc>
        <w:tc>
          <w:tcPr>
            <w:tcW w:w="2126" w:type="dxa"/>
          </w:tcPr>
          <w:p w14:paraId="38748792" w14:textId="77777777" w:rsidR="00B5539F" w:rsidRPr="005C5C72" w:rsidRDefault="00FF1601" w:rsidP="009A280F">
            <w:pPr>
              <w:rPr>
                <w:rFonts w:asciiTheme="minorHAnsi" w:hAnsiTheme="minorHAnsi" w:cstheme="minorHAnsi"/>
                <w:sz w:val="22"/>
                <w:szCs w:val="22"/>
              </w:rPr>
            </w:pPr>
            <w:r w:rsidRPr="005C5C72">
              <w:rPr>
                <w:rFonts w:asciiTheme="minorHAnsi" w:hAnsiTheme="minorHAnsi" w:cstheme="minorHAnsi"/>
                <w:sz w:val="22"/>
                <w:szCs w:val="22"/>
              </w:rPr>
              <w:t>PF-07321332 (nirmatrelvir) 300mg (2x150mg tablets) plus ritonavir 100mg taken together BD for 5 days</w:t>
            </w:r>
          </w:p>
        </w:tc>
        <w:tc>
          <w:tcPr>
            <w:tcW w:w="4536" w:type="dxa"/>
          </w:tcPr>
          <w:p w14:paraId="43334D42" w14:textId="122DFF19" w:rsidR="000143A5" w:rsidRPr="005C5C72" w:rsidRDefault="000143A5" w:rsidP="009A280F">
            <w:pPr>
              <w:rPr>
                <w:rFonts w:asciiTheme="minorHAnsi" w:hAnsiTheme="minorHAnsi" w:cstheme="minorHAnsi"/>
                <w:sz w:val="22"/>
                <w:szCs w:val="22"/>
              </w:rPr>
            </w:pPr>
            <w:r w:rsidRPr="005C5C72">
              <w:rPr>
                <w:rFonts w:asciiTheme="minorHAnsi" w:hAnsiTheme="minorHAnsi" w:cstheme="minorHAnsi"/>
                <w:sz w:val="22"/>
                <w:szCs w:val="22"/>
              </w:rPr>
              <w:t xml:space="preserve">Oral tablets, see </w:t>
            </w:r>
            <w:hyperlink r:id="rId16" w:history="1">
              <w:r w:rsidRPr="005C5C72">
                <w:rPr>
                  <w:rStyle w:val="Hyperlink"/>
                  <w:rFonts w:asciiTheme="minorHAnsi" w:hAnsiTheme="minorHAnsi" w:cstheme="minorHAnsi"/>
                  <w:sz w:val="22"/>
                  <w:szCs w:val="22"/>
                </w:rPr>
                <w:t>guidance</w:t>
              </w:r>
            </w:hyperlink>
            <w:r w:rsidRPr="005C5C72">
              <w:rPr>
                <w:rStyle w:val="FootnoteReference"/>
                <w:rFonts w:asciiTheme="minorHAnsi" w:hAnsiTheme="minorHAnsi" w:cstheme="minorHAnsi"/>
                <w:sz w:val="22"/>
                <w:szCs w:val="22"/>
              </w:rPr>
              <w:footnoteReference w:id="2"/>
            </w:r>
            <w:r w:rsidRPr="005C5C72">
              <w:rPr>
                <w:rFonts w:asciiTheme="minorHAnsi" w:hAnsiTheme="minorHAnsi" w:cstheme="minorHAnsi"/>
                <w:sz w:val="22"/>
                <w:szCs w:val="22"/>
              </w:rPr>
              <w:t xml:space="preserve"> for crushing/feeding tubes</w:t>
            </w:r>
          </w:p>
          <w:p w14:paraId="6981C1AE" w14:textId="6EC2D35B" w:rsidR="00B5539F" w:rsidRPr="005C5C72" w:rsidRDefault="00FF1601" w:rsidP="009A280F">
            <w:pPr>
              <w:rPr>
                <w:rFonts w:asciiTheme="minorHAnsi" w:hAnsiTheme="minorHAnsi" w:cstheme="minorHAnsi"/>
                <w:sz w:val="22"/>
                <w:szCs w:val="22"/>
              </w:rPr>
            </w:pPr>
            <w:r w:rsidRPr="005C5C72">
              <w:rPr>
                <w:rFonts w:asciiTheme="minorHAnsi" w:hAnsiTheme="minorHAnsi" w:cstheme="minorHAnsi"/>
                <w:sz w:val="22"/>
                <w:szCs w:val="22"/>
              </w:rPr>
              <w:t>See below for numerous cautions, contraindications and interactions. The patient does NOT have a history of advanced decompensated liver cirrhosis or stage 4-5 CKD</w:t>
            </w:r>
            <w:r w:rsidR="00EA6EE5" w:rsidRPr="005C5C72">
              <w:rPr>
                <w:rFonts w:asciiTheme="minorHAnsi" w:hAnsiTheme="minorHAnsi" w:cstheme="minorHAnsi"/>
                <w:sz w:val="22"/>
                <w:szCs w:val="22"/>
              </w:rPr>
              <w:t>.</w:t>
            </w:r>
            <w:r w:rsidR="00E57021" w:rsidRPr="005C5C72">
              <w:rPr>
                <w:rFonts w:asciiTheme="minorHAnsi" w:hAnsiTheme="minorHAnsi" w:cstheme="minorHAnsi"/>
                <w:sz w:val="22"/>
                <w:szCs w:val="22"/>
              </w:rPr>
              <w:t xml:space="preserve"> Renal dose below.</w:t>
            </w:r>
          </w:p>
        </w:tc>
      </w:tr>
      <w:tr w:rsidR="001529DF" w:rsidRPr="005C5C72" w14:paraId="1BB8042C" w14:textId="77777777" w:rsidTr="000143A5">
        <w:trPr>
          <w:trHeight w:val="1135"/>
        </w:trPr>
        <w:tc>
          <w:tcPr>
            <w:tcW w:w="1418" w:type="dxa"/>
          </w:tcPr>
          <w:p w14:paraId="6447DDA8" w14:textId="77777777" w:rsidR="00B5539F" w:rsidRPr="005C5C72" w:rsidRDefault="00B5539F" w:rsidP="00EA6EE5">
            <w:pPr>
              <w:spacing w:after="240"/>
              <w:rPr>
                <w:rFonts w:asciiTheme="minorHAnsi" w:hAnsiTheme="minorHAnsi" w:cstheme="minorHAnsi"/>
                <w:sz w:val="22"/>
                <w:szCs w:val="22"/>
              </w:rPr>
            </w:pPr>
            <w:r w:rsidRPr="005C5C72">
              <w:rPr>
                <w:rFonts w:asciiTheme="minorHAnsi" w:hAnsiTheme="minorHAnsi" w:cstheme="minorHAnsi"/>
                <w:sz w:val="22"/>
                <w:szCs w:val="22"/>
              </w:rPr>
              <w:t>Second line</w:t>
            </w:r>
          </w:p>
        </w:tc>
        <w:tc>
          <w:tcPr>
            <w:tcW w:w="1418" w:type="dxa"/>
          </w:tcPr>
          <w:p w14:paraId="340F55A4" w14:textId="77777777" w:rsidR="00B5539F" w:rsidRPr="005C5C72" w:rsidRDefault="00B5539F" w:rsidP="00EA6EE5">
            <w:pPr>
              <w:spacing w:after="240"/>
              <w:rPr>
                <w:rFonts w:asciiTheme="minorHAnsi" w:hAnsiTheme="minorHAnsi" w:cstheme="minorHAnsi"/>
                <w:sz w:val="22"/>
                <w:szCs w:val="22"/>
              </w:rPr>
            </w:pPr>
            <w:r w:rsidRPr="005C5C72">
              <w:rPr>
                <w:rFonts w:asciiTheme="minorHAnsi" w:hAnsiTheme="minorHAnsi" w:cstheme="minorHAnsi"/>
                <w:sz w:val="22"/>
                <w:szCs w:val="22"/>
              </w:rPr>
              <w:t>Remdesivir</w:t>
            </w:r>
          </w:p>
        </w:tc>
        <w:tc>
          <w:tcPr>
            <w:tcW w:w="1134" w:type="dxa"/>
          </w:tcPr>
          <w:p w14:paraId="4B5545BA" w14:textId="77777777" w:rsidR="00B5539F" w:rsidRPr="005C5C72" w:rsidRDefault="00FF1601" w:rsidP="00EA6EE5">
            <w:pPr>
              <w:spacing w:after="240"/>
              <w:rPr>
                <w:rFonts w:asciiTheme="minorHAnsi" w:hAnsiTheme="minorHAnsi" w:cstheme="minorHAnsi"/>
                <w:sz w:val="22"/>
                <w:szCs w:val="22"/>
              </w:rPr>
            </w:pPr>
            <w:r w:rsidRPr="005C5C72">
              <w:rPr>
                <w:rFonts w:asciiTheme="minorHAnsi" w:hAnsiTheme="minorHAnsi" w:cstheme="minorHAnsi"/>
                <w:sz w:val="22"/>
                <w:szCs w:val="22"/>
              </w:rPr>
              <w:t>≤ 7 days</w:t>
            </w:r>
          </w:p>
        </w:tc>
        <w:tc>
          <w:tcPr>
            <w:tcW w:w="2126" w:type="dxa"/>
          </w:tcPr>
          <w:p w14:paraId="2160BF8C" w14:textId="77777777" w:rsidR="00B5539F" w:rsidRPr="005C5C72" w:rsidRDefault="00FF1601" w:rsidP="009A280F">
            <w:pPr>
              <w:rPr>
                <w:rFonts w:asciiTheme="minorHAnsi" w:hAnsiTheme="minorHAnsi" w:cstheme="minorHAnsi"/>
                <w:sz w:val="22"/>
                <w:szCs w:val="22"/>
              </w:rPr>
            </w:pPr>
            <w:r w:rsidRPr="005C5C72">
              <w:rPr>
                <w:rFonts w:asciiTheme="minorHAnsi" w:hAnsiTheme="minorHAnsi" w:cstheme="minorHAnsi"/>
                <w:sz w:val="22"/>
                <w:szCs w:val="22"/>
              </w:rPr>
              <w:t xml:space="preserve">200mg stat IV infusion </w:t>
            </w:r>
            <w:r w:rsidR="00C440CE" w:rsidRPr="005C5C72">
              <w:rPr>
                <w:rFonts w:asciiTheme="minorHAnsi" w:hAnsiTheme="minorHAnsi" w:cstheme="minorHAnsi"/>
                <w:sz w:val="22"/>
                <w:szCs w:val="22"/>
              </w:rPr>
              <w:t>on day 1 then 100mg OD on day 2 and 3</w:t>
            </w:r>
          </w:p>
        </w:tc>
        <w:tc>
          <w:tcPr>
            <w:tcW w:w="4536" w:type="dxa"/>
          </w:tcPr>
          <w:p w14:paraId="17A12292" w14:textId="0EA6595E" w:rsidR="00B5539F" w:rsidRPr="005C5C72" w:rsidRDefault="001125B7" w:rsidP="00E57021">
            <w:pPr>
              <w:spacing w:after="240"/>
              <w:rPr>
                <w:rFonts w:asciiTheme="minorHAnsi" w:hAnsiTheme="minorHAnsi" w:cstheme="minorHAnsi"/>
                <w:sz w:val="22"/>
                <w:szCs w:val="22"/>
              </w:rPr>
            </w:pPr>
            <w:r w:rsidRPr="005C5C72">
              <w:rPr>
                <w:rFonts w:asciiTheme="minorHAnsi" w:hAnsiTheme="minorHAnsi" w:cstheme="minorHAnsi"/>
                <w:sz w:val="22"/>
                <w:szCs w:val="22"/>
              </w:rPr>
              <w:t>Monitor</w:t>
            </w:r>
            <w:r w:rsidR="00E57021" w:rsidRPr="005C5C72">
              <w:rPr>
                <w:rFonts w:asciiTheme="minorHAnsi" w:hAnsiTheme="minorHAnsi" w:cstheme="minorHAnsi"/>
                <w:sz w:val="22"/>
                <w:szCs w:val="22"/>
              </w:rPr>
              <w:t xml:space="preserve"> renal and hepatic function throughout treatment.</w:t>
            </w:r>
          </w:p>
        </w:tc>
      </w:tr>
      <w:tr w:rsidR="001529DF" w:rsidRPr="000143A5" w14:paraId="662E202E" w14:textId="77777777" w:rsidTr="000143A5">
        <w:tc>
          <w:tcPr>
            <w:tcW w:w="1418" w:type="dxa"/>
          </w:tcPr>
          <w:p w14:paraId="7D84CA3F" w14:textId="310530E8" w:rsidR="001529DF" w:rsidRPr="005C5C72" w:rsidRDefault="000143A5" w:rsidP="00EA6EE5">
            <w:pPr>
              <w:spacing w:after="240"/>
              <w:rPr>
                <w:rFonts w:asciiTheme="minorHAnsi" w:hAnsiTheme="minorHAnsi" w:cstheme="minorHAnsi"/>
                <w:sz w:val="22"/>
                <w:szCs w:val="22"/>
              </w:rPr>
            </w:pPr>
            <w:r w:rsidRPr="005C5C72">
              <w:rPr>
                <w:rFonts w:asciiTheme="minorHAnsi" w:hAnsiTheme="minorHAnsi" w:cstheme="minorHAnsi"/>
                <w:sz w:val="22"/>
                <w:szCs w:val="22"/>
              </w:rPr>
              <w:t>By exception, only with MDT approval</w:t>
            </w:r>
          </w:p>
        </w:tc>
        <w:tc>
          <w:tcPr>
            <w:tcW w:w="1418" w:type="dxa"/>
          </w:tcPr>
          <w:p w14:paraId="6A4FD0EA" w14:textId="77777777" w:rsidR="001529DF" w:rsidRPr="005C5C72" w:rsidRDefault="001529DF" w:rsidP="00EA6EE5">
            <w:pPr>
              <w:spacing w:after="240"/>
              <w:rPr>
                <w:rFonts w:asciiTheme="minorHAnsi" w:hAnsiTheme="minorHAnsi" w:cstheme="minorHAnsi"/>
                <w:sz w:val="22"/>
                <w:szCs w:val="22"/>
              </w:rPr>
            </w:pPr>
            <w:r w:rsidRPr="005C5C72">
              <w:rPr>
                <w:rFonts w:asciiTheme="minorHAnsi" w:hAnsiTheme="minorHAnsi" w:cstheme="minorHAnsi"/>
                <w:sz w:val="22"/>
                <w:szCs w:val="22"/>
              </w:rPr>
              <w:t>Sotrovimab</w:t>
            </w:r>
          </w:p>
        </w:tc>
        <w:tc>
          <w:tcPr>
            <w:tcW w:w="1134" w:type="dxa"/>
          </w:tcPr>
          <w:p w14:paraId="130E8EEE" w14:textId="77777777" w:rsidR="001529DF" w:rsidRPr="005C5C72" w:rsidRDefault="001529DF" w:rsidP="00EA6EE5">
            <w:pPr>
              <w:spacing w:after="240"/>
              <w:rPr>
                <w:rFonts w:asciiTheme="minorHAnsi" w:hAnsiTheme="minorHAnsi" w:cstheme="minorHAnsi"/>
                <w:sz w:val="22"/>
                <w:szCs w:val="22"/>
              </w:rPr>
            </w:pPr>
            <w:r w:rsidRPr="005C5C72">
              <w:rPr>
                <w:rFonts w:asciiTheme="minorHAnsi" w:hAnsiTheme="minorHAnsi" w:cstheme="minorHAnsi"/>
                <w:sz w:val="22"/>
                <w:szCs w:val="22"/>
              </w:rPr>
              <w:t>≤ 5 days*</w:t>
            </w:r>
          </w:p>
        </w:tc>
        <w:tc>
          <w:tcPr>
            <w:tcW w:w="2126" w:type="dxa"/>
          </w:tcPr>
          <w:p w14:paraId="308E05D9" w14:textId="77777777" w:rsidR="001529DF" w:rsidRPr="005C5C72" w:rsidRDefault="001529DF" w:rsidP="00EA6EE5">
            <w:pPr>
              <w:spacing w:after="240"/>
              <w:rPr>
                <w:rFonts w:asciiTheme="minorHAnsi" w:hAnsiTheme="minorHAnsi" w:cstheme="minorHAnsi"/>
                <w:sz w:val="22"/>
                <w:szCs w:val="22"/>
              </w:rPr>
            </w:pPr>
            <w:r w:rsidRPr="005C5C72">
              <w:rPr>
                <w:rFonts w:asciiTheme="minorHAnsi" w:hAnsiTheme="minorHAnsi" w:cstheme="minorHAnsi"/>
                <w:sz w:val="22"/>
                <w:szCs w:val="22"/>
              </w:rPr>
              <w:t>500mg stat IV infusion only</w:t>
            </w:r>
          </w:p>
        </w:tc>
        <w:tc>
          <w:tcPr>
            <w:tcW w:w="4536" w:type="dxa"/>
          </w:tcPr>
          <w:p w14:paraId="538310F3" w14:textId="2C96EE32" w:rsidR="00DB788F" w:rsidRPr="005C5C72" w:rsidRDefault="000143A5" w:rsidP="009A280F">
            <w:pPr>
              <w:rPr>
                <w:rFonts w:asciiTheme="minorHAnsi" w:hAnsiTheme="minorHAnsi" w:cstheme="minorHAnsi"/>
                <w:strike/>
                <w:sz w:val="22"/>
                <w:szCs w:val="22"/>
              </w:rPr>
            </w:pPr>
            <w:r w:rsidRPr="005C5C72">
              <w:rPr>
                <w:rFonts w:asciiTheme="minorHAnsi" w:hAnsiTheme="minorHAnsi" w:cstheme="minorHAnsi"/>
                <w:sz w:val="22"/>
                <w:szCs w:val="22"/>
              </w:rPr>
              <w:t>May be considered by exception where the available antiviral treatments above are contraindicated or determined to be unsuitable following multi-disciplinary team (MDT) assessment.</w:t>
            </w:r>
          </w:p>
        </w:tc>
      </w:tr>
    </w:tbl>
    <w:p w14:paraId="648380D4" w14:textId="65DF0A8C" w:rsidR="00E73B6D" w:rsidRPr="000143A5" w:rsidRDefault="00FF1601" w:rsidP="009A280F">
      <w:pPr>
        <w:spacing w:before="120"/>
        <w:rPr>
          <w:rFonts w:asciiTheme="minorHAnsi" w:hAnsiTheme="minorHAnsi" w:cstheme="minorHAnsi"/>
          <w:sz w:val="22"/>
          <w:szCs w:val="22"/>
        </w:rPr>
      </w:pPr>
      <w:r w:rsidRPr="000143A5">
        <w:rPr>
          <w:rFonts w:asciiTheme="minorHAnsi" w:hAnsiTheme="minorHAnsi" w:cstheme="minorHAnsi"/>
          <w:sz w:val="22"/>
          <w:szCs w:val="22"/>
        </w:rPr>
        <w:t>* Treatment commencement may be extended up to a maximum of 7 days from symptom onset if clinically indicated (treatment commencement beyond 5 days from symptom onset is off-label).</w:t>
      </w:r>
    </w:p>
    <w:p w14:paraId="23F23F9A" w14:textId="67791903" w:rsidR="00B225B4" w:rsidRPr="000143A5" w:rsidRDefault="00B225B4" w:rsidP="00DE26AE">
      <w:pPr>
        <w:pStyle w:val="NormalWeb"/>
        <w:shd w:val="clear" w:color="auto" w:fill="FFFFFF"/>
        <w:spacing w:before="120" w:beforeAutospacing="0" w:after="0" w:afterAutospacing="0"/>
        <w:rPr>
          <w:rFonts w:asciiTheme="minorHAnsi" w:hAnsiTheme="minorHAnsi" w:cstheme="minorHAnsi"/>
          <w:b/>
          <w:sz w:val="22"/>
          <w:szCs w:val="22"/>
          <w:u w:val="single"/>
        </w:rPr>
      </w:pPr>
      <w:r w:rsidRPr="000143A5">
        <w:rPr>
          <w:rFonts w:asciiTheme="minorHAnsi" w:hAnsiTheme="minorHAnsi" w:cstheme="minorHAnsi"/>
          <w:b/>
          <w:sz w:val="22"/>
          <w:szCs w:val="22"/>
          <w:u w:val="single"/>
        </w:rPr>
        <w:t>Exclusion criteria for Group 2</w:t>
      </w:r>
    </w:p>
    <w:p w14:paraId="1F7EB0B8" w14:textId="77777777" w:rsidR="00C0713E" w:rsidRPr="000143A5" w:rsidRDefault="00C0713E" w:rsidP="00C0713E">
      <w:pPr>
        <w:pStyle w:val="NormalWeb"/>
        <w:numPr>
          <w:ilvl w:val="0"/>
          <w:numId w:val="2"/>
        </w:numPr>
        <w:shd w:val="clear" w:color="auto" w:fill="FFFFFF"/>
        <w:spacing w:before="0" w:beforeAutospacing="0" w:after="0" w:afterAutospacing="0"/>
        <w:rPr>
          <w:rFonts w:asciiTheme="minorHAnsi" w:hAnsiTheme="minorHAnsi" w:cstheme="minorHAnsi"/>
          <w:b/>
          <w:sz w:val="22"/>
          <w:szCs w:val="22"/>
        </w:rPr>
      </w:pPr>
      <w:r w:rsidRPr="000143A5">
        <w:rPr>
          <w:rFonts w:asciiTheme="minorHAnsi" w:eastAsiaTheme="minorHAnsi" w:hAnsiTheme="minorHAnsi" w:cstheme="minorHAnsi"/>
          <w:color w:val="000000"/>
          <w:sz w:val="22"/>
          <w:szCs w:val="22"/>
          <w:lang w:eastAsia="en-US"/>
        </w:rPr>
        <w:t>Require hospital-level care for the management of acute COVID-19 illness.</w:t>
      </w:r>
    </w:p>
    <w:p w14:paraId="5A4E380B" w14:textId="108ECCE1" w:rsidR="00C0713E" w:rsidRPr="000143A5" w:rsidRDefault="00C0713E" w:rsidP="00C0713E">
      <w:pPr>
        <w:pStyle w:val="NormalWeb"/>
        <w:numPr>
          <w:ilvl w:val="0"/>
          <w:numId w:val="2"/>
        </w:numPr>
        <w:shd w:val="clear" w:color="auto" w:fill="FFFFFF"/>
        <w:spacing w:before="0" w:beforeAutospacing="0" w:after="0" w:afterAutospacing="0"/>
        <w:rPr>
          <w:rFonts w:asciiTheme="minorHAnsi" w:hAnsiTheme="minorHAnsi" w:cstheme="minorHAnsi"/>
          <w:b/>
          <w:sz w:val="22"/>
          <w:szCs w:val="22"/>
        </w:rPr>
      </w:pPr>
      <w:r w:rsidRPr="000143A5">
        <w:rPr>
          <w:rFonts w:asciiTheme="minorHAnsi" w:eastAsiaTheme="minorHAnsi" w:hAnsiTheme="minorHAnsi" w:cstheme="minorHAnsi"/>
          <w:color w:val="000000"/>
          <w:sz w:val="22"/>
          <w:szCs w:val="22"/>
          <w:lang w:eastAsia="en-US"/>
        </w:rPr>
        <w:t>New supplemental oxygen requirement specifically for the management of COVID-19 symptoms (</w:t>
      </w:r>
      <w:hyperlink r:id="rId17" w:anchor="content,f69d4343-226f-4d37-a2a7-0020bb1b9219" w:history="1">
        <w:r w:rsidRPr="000143A5">
          <w:rPr>
            <w:rStyle w:val="Hyperlink"/>
            <w:rFonts w:asciiTheme="minorHAnsi" w:eastAsiaTheme="minorHAnsi" w:hAnsiTheme="minorHAnsi" w:cstheme="minorHAnsi"/>
            <w:sz w:val="22"/>
            <w:szCs w:val="22"/>
            <w:lang w:eastAsia="en-US"/>
          </w:rPr>
          <w:t>treat as per group 1</w:t>
        </w:r>
      </w:hyperlink>
      <w:r w:rsidRPr="000143A5">
        <w:rPr>
          <w:rFonts w:asciiTheme="minorHAnsi" w:eastAsiaTheme="minorHAnsi" w:hAnsiTheme="minorHAnsi" w:cstheme="minorHAnsi"/>
          <w:color w:val="000000"/>
          <w:sz w:val="22"/>
          <w:szCs w:val="22"/>
          <w:lang w:eastAsia="en-US"/>
        </w:rPr>
        <w:t>).</w:t>
      </w:r>
    </w:p>
    <w:p w14:paraId="05C8D67E" w14:textId="4FAE9324" w:rsidR="00C0713E" w:rsidRPr="005C5C72" w:rsidRDefault="000143A5" w:rsidP="00C0713E">
      <w:pPr>
        <w:pStyle w:val="NormalWeb"/>
        <w:numPr>
          <w:ilvl w:val="0"/>
          <w:numId w:val="2"/>
        </w:numPr>
        <w:shd w:val="clear" w:color="auto" w:fill="FFFFFF"/>
        <w:spacing w:before="0" w:beforeAutospacing="0" w:after="0" w:afterAutospacing="0"/>
        <w:ind w:left="714" w:hanging="357"/>
        <w:rPr>
          <w:rFonts w:asciiTheme="minorHAnsi" w:hAnsiTheme="minorHAnsi" w:cstheme="minorHAnsi"/>
          <w:color w:val="000000"/>
          <w:sz w:val="22"/>
          <w:szCs w:val="22"/>
        </w:rPr>
      </w:pPr>
      <w:r w:rsidRPr="005C5C72">
        <w:rPr>
          <w:rFonts w:asciiTheme="minorHAnsi" w:hAnsiTheme="minorHAnsi" w:cstheme="minorHAnsi"/>
          <w:color w:val="000000"/>
          <w:sz w:val="22"/>
          <w:szCs w:val="22"/>
        </w:rPr>
        <w:t>Children aged under 18 (guideline only applies to adults)</w:t>
      </w:r>
      <w:r w:rsidR="00C0713E" w:rsidRPr="005C5C72">
        <w:rPr>
          <w:rFonts w:asciiTheme="minorHAnsi" w:hAnsiTheme="minorHAnsi" w:cstheme="minorHAnsi"/>
          <w:color w:val="000000"/>
          <w:sz w:val="22"/>
          <w:szCs w:val="22"/>
        </w:rPr>
        <w:t>.</w:t>
      </w:r>
    </w:p>
    <w:p w14:paraId="1D958FDE" w14:textId="77777777" w:rsidR="00C0713E" w:rsidRPr="000143A5" w:rsidRDefault="00C0713E" w:rsidP="00C0713E">
      <w:pPr>
        <w:pStyle w:val="NormalWeb"/>
        <w:numPr>
          <w:ilvl w:val="0"/>
          <w:numId w:val="2"/>
        </w:numPr>
        <w:shd w:val="clear" w:color="auto" w:fill="FFFFFF"/>
        <w:spacing w:before="0" w:beforeAutospacing="0" w:after="0" w:afterAutospacing="0"/>
        <w:ind w:left="714" w:hanging="357"/>
        <w:rPr>
          <w:rFonts w:asciiTheme="minorHAnsi" w:hAnsiTheme="minorHAnsi" w:cstheme="minorHAnsi"/>
          <w:sz w:val="22"/>
          <w:szCs w:val="22"/>
        </w:rPr>
      </w:pPr>
      <w:r w:rsidRPr="000143A5">
        <w:rPr>
          <w:rFonts w:asciiTheme="minorHAnsi" w:hAnsiTheme="minorHAnsi" w:cstheme="minorHAnsi"/>
          <w:sz w:val="22"/>
          <w:szCs w:val="22"/>
        </w:rPr>
        <w:t>Known hypersensitivity reaction to the active substances or to any of the excipients of the products as listed in the respective Summary of Product Characteristics.</w:t>
      </w:r>
    </w:p>
    <w:p w14:paraId="0DBCFF22" w14:textId="77777777" w:rsidR="00B225B4" w:rsidRPr="000143A5" w:rsidRDefault="00B225B4" w:rsidP="00EC15B3">
      <w:pPr>
        <w:pStyle w:val="NormalWeb"/>
        <w:numPr>
          <w:ilvl w:val="0"/>
          <w:numId w:val="2"/>
        </w:numPr>
        <w:shd w:val="clear" w:color="auto" w:fill="FFFFFF"/>
        <w:spacing w:before="0" w:beforeAutospacing="0" w:after="0" w:afterAutospacing="0"/>
        <w:rPr>
          <w:rFonts w:asciiTheme="minorHAnsi" w:hAnsiTheme="minorHAnsi" w:cstheme="minorHAnsi"/>
          <w:b/>
          <w:sz w:val="22"/>
          <w:szCs w:val="22"/>
        </w:rPr>
      </w:pPr>
      <w:r w:rsidRPr="000143A5">
        <w:rPr>
          <w:rFonts w:asciiTheme="minorHAnsi" w:eastAsiaTheme="minorHAnsi" w:hAnsiTheme="minorHAnsi" w:cstheme="minorHAnsi"/>
          <w:color w:val="000000"/>
          <w:sz w:val="22"/>
          <w:szCs w:val="22"/>
          <w:lang w:eastAsia="en-US"/>
        </w:rPr>
        <w:lastRenderedPageBreak/>
        <w:t>The pattern of clinical presentation indicates that there is recovery rather than risk of deterioration from infection</w:t>
      </w:r>
      <w:r w:rsidR="00B15E4A" w:rsidRPr="000143A5">
        <w:rPr>
          <w:rFonts w:asciiTheme="minorHAnsi" w:eastAsiaTheme="minorHAnsi" w:hAnsiTheme="minorHAnsi" w:cstheme="minorHAnsi"/>
          <w:color w:val="000000"/>
          <w:sz w:val="22"/>
          <w:szCs w:val="22"/>
          <w:lang w:eastAsia="en-US"/>
        </w:rPr>
        <w:t>.</w:t>
      </w:r>
    </w:p>
    <w:p w14:paraId="269479C5" w14:textId="77777777" w:rsidR="00C0713E" w:rsidRPr="000143A5" w:rsidRDefault="00C0713E" w:rsidP="00C0713E">
      <w:pPr>
        <w:pStyle w:val="NormalWeb"/>
        <w:shd w:val="clear" w:color="auto" w:fill="FFFFFF"/>
        <w:spacing w:before="0" w:beforeAutospacing="0" w:after="0" w:afterAutospacing="0"/>
        <w:rPr>
          <w:rFonts w:asciiTheme="minorHAnsi" w:eastAsiaTheme="minorHAnsi" w:hAnsiTheme="minorHAnsi" w:cstheme="minorHAnsi"/>
          <w:color w:val="000000"/>
          <w:sz w:val="22"/>
          <w:szCs w:val="22"/>
          <w:lang w:eastAsia="en-US"/>
        </w:rPr>
      </w:pPr>
    </w:p>
    <w:p w14:paraId="109B0A46" w14:textId="2850C3A7" w:rsidR="00DB788F" w:rsidRPr="000143A5" w:rsidRDefault="00C0713E" w:rsidP="00C0713E">
      <w:pPr>
        <w:pStyle w:val="NormalWeb"/>
        <w:shd w:val="clear" w:color="auto" w:fill="FFFFFF"/>
        <w:spacing w:before="0" w:beforeAutospacing="0" w:after="0" w:afterAutospacing="0"/>
        <w:rPr>
          <w:rFonts w:asciiTheme="minorHAnsi" w:eastAsiaTheme="minorHAnsi" w:hAnsiTheme="minorHAnsi" w:cstheme="minorHAnsi"/>
          <w:b/>
          <w:color w:val="000000"/>
          <w:sz w:val="22"/>
          <w:szCs w:val="22"/>
          <w:u w:val="single"/>
          <w:lang w:eastAsia="en-US"/>
        </w:rPr>
      </w:pPr>
      <w:r w:rsidRPr="000143A5">
        <w:rPr>
          <w:rFonts w:asciiTheme="minorHAnsi" w:eastAsiaTheme="minorHAnsi" w:hAnsiTheme="minorHAnsi" w:cstheme="minorHAnsi"/>
          <w:b/>
          <w:color w:val="000000"/>
          <w:sz w:val="22"/>
          <w:szCs w:val="22"/>
          <w:u w:val="single"/>
          <w:lang w:eastAsia="en-US"/>
        </w:rPr>
        <w:t xml:space="preserve">Additional exclusion criteria </w:t>
      </w:r>
    </w:p>
    <w:p w14:paraId="3D6EAF1E" w14:textId="77777777" w:rsidR="00DB788F" w:rsidRPr="000143A5" w:rsidRDefault="00DB788F" w:rsidP="00C0713E">
      <w:pPr>
        <w:pStyle w:val="NormalWeb"/>
        <w:shd w:val="clear" w:color="auto" w:fill="FFFFFF"/>
        <w:spacing w:before="0" w:beforeAutospacing="0" w:after="0" w:afterAutospacing="0"/>
        <w:rPr>
          <w:rFonts w:asciiTheme="minorHAnsi" w:eastAsiaTheme="minorHAnsi" w:hAnsiTheme="minorHAnsi" w:cstheme="minorHAnsi"/>
          <w:b/>
          <w:color w:val="000000"/>
          <w:sz w:val="22"/>
          <w:szCs w:val="22"/>
          <w:lang w:eastAsia="en-US"/>
        </w:rPr>
      </w:pPr>
    </w:p>
    <w:p w14:paraId="291039CF" w14:textId="0114A8C4" w:rsidR="00C0713E" w:rsidRPr="000143A5" w:rsidRDefault="006C3AF0" w:rsidP="00C0713E">
      <w:pPr>
        <w:pStyle w:val="NormalWeb"/>
        <w:shd w:val="clear" w:color="auto" w:fill="FFFFFF"/>
        <w:spacing w:before="0" w:beforeAutospacing="0" w:after="0" w:afterAutospacing="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b/>
          <w:color w:val="000000"/>
          <w:sz w:val="22"/>
          <w:szCs w:val="22"/>
          <w:lang w:eastAsia="en-US"/>
        </w:rPr>
        <w:t>PF-07321332 (nirmatrelvir) plus ritonavir (Paxlovid</w:t>
      </w:r>
      <w:r w:rsidRPr="000143A5">
        <w:rPr>
          <w:rStyle w:val="markedcontent"/>
          <w:rFonts w:asciiTheme="minorHAnsi" w:hAnsiTheme="minorHAnsi" w:cstheme="minorHAnsi"/>
          <w:b/>
          <w:sz w:val="22"/>
          <w:szCs w:val="22"/>
        </w:rPr>
        <w:t>®</w:t>
      </w:r>
      <w:r w:rsidRPr="000143A5">
        <w:rPr>
          <w:rFonts w:asciiTheme="minorHAnsi" w:eastAsiaTheme="minorHAnsi" w:hAnsiTheme="minorHAnsi" w:cstheme="minorHAnsi"/>
          <w:b/>
          <w:color w:val="000000"/>
          <w:sz w:val="22"/>
          <w:szCs w:val="22"/>
          <w:lang w:eastAsia="en-US"/>
        </w:rPr>
        <w:t>)</w:t>
      </w:r>
    </w:p>
    <w:p w14:paraId="6E86795C" w14:textId="77777777" w:rsidR="006C3AF0" w:rsidRPr="000143A5" w:rsidRDefault="006C3AF0" w:rsidP="006C3AF0">
      <w:pPr>
        <w:pStyle w:val="NormalWeb"/>
        <w:numPr>
          <w:ilvl w:val="0"/>
          <w:numId w:val="23"/>
        </w:numPr>
        <w:shd w:val="clear" w:color="auto" w:fill="FFFFFF"/>
        <w:spacing w:before="0" w:beforeAutospacing="0" w:after="0" w:afterAutospacing="0"/>
        <w:rPr>
          <w:rFonts w:asciiTheme="minorHAnsi" w:hAnsiTheme="minorHAnsi" w:cstheme="minorHAnsi"/>
          <w:sz w:val="22"/>
          <w:szCs w:val="22"/>
        </w:rPr>
      </w:pPr>
      <w:r w:rsidRPr="000143A5">
        <w:rPr>
          <w:rFonts w:asciiTheme="minorHAnsi" w:hAnsiTheme="minorHAnsi" w:cstheme="minorHAnsi"/>
          <w:sz w:val="22"/>
          <w:szCs w:val="22"/>
        </w:rPr>
        <w:t>Children aged less than 18 years old.</w:t>
      </w:r>
    </w:p>
    <w:p w14:paraId="37EAC358" w14:textId="77777777" w:rsidR="006C3AF0" w:rsidRPr="000143A5" w:rsidRDefault="006C3AF0" w:rsidP="006C3AF0">
      <w:pPr>
        <w:pStyle w:val="NormalWeb"/>
        <w:numPr>
          <w:ilvl w:val="0"/>
          <w:numId w:val="23"/>
        </w:numPr>
        <w:shd w:val="clear" w:color="auto" w:fill="FFFFFF"/>
        <w:spacing w:before="0" w:beforeAutospacing="0" w:after="0" w:afterAutospacing="0"/>
        <w:rPr>
          <w:rFonts w:asciiTheme="minorHAnsi" w:hAnsiTheme="minorHAnsi" w:cstheme="minorHAnsi"/>
          <w:sz w:val="22"/>
          <w:szCs w:val="22"/>
        </w:rPr>
      </w:pPr>
      <w:r w:rsidRPr="000143A5">
        <w:rPr>
          <w:rFonts w:asciiTheme="minorHAnsi" w:hAnsiTheme="minorHAnsi" w:cstheme="minorHAnsi"/>
          <w:sz w:val="22"/>
          <w:szCs w:val="22"/>
        </w:rPr>
        <w:t>Pregnancy.</w:t>
      </w:r>
    </w:p>
    <w:p w14:paraId="4454E9CD" w14:textId="252EB2CF" w:rsidR="006C3AF0" w:rsidRPr="000143A5" w:rsidRDefault="006C3AF0" w:rsidP="006C3AF0">
      <w:pPr>
        <w:pStyle w:val="NormalWeb"/>
        <w:numPr>
          <w:ilvl w:val="0"/>
          <w:numId w:val="23"/>
        </w:numPr>
        <w:shd w:val="clear" w:color="auto" w:fill="FFFFFF"/>
        <w:spacing w:before="0" w:beforeAutospacing="0" w:after="0" w:afterAutospacing="0"/>
        <w:rPr>
          <w:rFonts w:asciiTheme="minorHAnsi" w:hAnsiTheme="minorHAnsi" w:cstheme="minorHAnsi"/>
          <w:sz w:val="22"/>
          <w:szCs w:val="22"/>
        </w:rPr>
      </w:pPr>
      <w:r w:rsidRPr="000143A5">
        <w:rPr>
          <w:rFonts w:asciiTheme="minorHAnsi" w:hAnsiTheme="minorHAnsi" w:cstheme="minorHAnsi"/>
          <w:sz w:val="22"/>
          <w:szCs w:val="22"/>
        </w:rPr>
        <w:t xml:space="preserve">The patient is taking any of the medications listed in </w:t>
      </w:r>
      <w:r w:rsidR="00E73228" w:rsidRPr="000143A5">
        <w:rPr>
          <w:rFonts w:asciiTheme="minorHAnsi" w:hAnsiTheme="minorHAnsi" w:cstheme="minorHAnsi"/>
          <w:sz w:val="22"/>
          <w:szCs w:val="22"/>
        </w:rPr>
        <w:t>Appendix 2</w:t>
      </w:r>
      <w:r w:rsidR="007A6BBE" w:rsidRPr="000143A5">
        <w:rPr>
          <w:rFonts w:asciiTheme="minorHAnsi" w:hAnsiTheme="minorHAnsi" w:cstheme="minorHAnsi"/>
          <w:sz w:val="22"/>
          <w:szCs w:val="22"/>
        </w:rPr>
        <w:t xml:space="preserve"> and the interaction cannot be otherwise managed (e.g. cessation of interacting medication or benefits outweigh risks).</w:t>
      </w:r>
      <w:r w:rsidR="00BE5D10" w:rsidRPr="000143A5">
        <w:rPr>
          <w:rFonts w:asciiTheme="minorHAnsi" w:hAnsiTheme="minorHAnsi" w:cstheme="minorHAnsi"/>
          <w:sz w:val="22"/>
          <w:szCs w:val="22"/>
        </w:rPr>
        <w:t xml:space="preserve"> If taking of these medications that in raised concentrations could be associated with serious/life threatening reactions PF-07321332 (nirmatrelvir) plus ritonavir (Paxlovid</w:t>
      </w:r>
      <w:r w:rsidR="00BE5D10" w:rsidRPr="000143A5">
        <w:rPr>
          <w:rStyle w:val="markedcontent"/>
          <w:rFonts w:asciiTheme="minorHAnsi" w:hAnsiTheme="minorHAnsi" w:cstheme="minorHAnsi"/>
          <w:sz w:val="22"/>
          <w:szCs w:val="22"/>
        </w:rPr>
        <w:t>®</w:t>
      </w:r>
      <w:r w:rsidR="00BE5D10" w:rsidRPr="000143A5">
        <w:rPr>
          <w:rFonts w:asciiTheme="minorHAnsi" w:hAnsiTheme="minorHAnsi" w:cstheme="minorHAnsi"/>
          <w:sz w:val="22"/>
          <w:szCs w:val="22"/>
        </w:rPr>
        <w:t>) would be contraindicated.</w:t>
      </w:r>
    </w:p>
    <w:p w14:paraId="089A275B" w14:textId="3B758C38" w:rsidR="00E57021" w:rsidRPr="000143A5" w:rsidRDefault="00E57021" w:rsidP="006C3AF0">
      <w:pPr>
        <w:pStyle w:val="NormalWeb"/>
        <w:numPr>
          <w:ilvl w:val="0"/>
          <w:numId w:val="23"/>
        </w:numPr>
        <w:shd w:val="clear" w:color="auto" w:fill="FFFFFF"/>
        <w:spacing w:before="0" w:beforeAutospacing="0" w:after="0" w:afterAutospacing="0"/>
        <w:rPr>
          <w:rFonts w:asciiTheme="minorHAnsi" w:hAnsiTheme="minorHAnsi" w:cstheme="minorHAnsi"/>
          <w:sz w:val="22"/>
          <w:szCs w:val="22"/>
        </w:rPr>
      </w:pPr>
      <w:r w:rsidRPr="000143A5">
        <w:rPr>
          <w:rFonts w:asciiTheme="minorHAnsi" w:hAnsiTheme="minorHAnsi" w:cstheme="minorHAnsi"/>
          <w:sz w:val="22"/>
          <w:szCs w:val="22"/>
        </w:rPr>
        <w:t>Severe renal</w:t>
      </w:r>
      <w:r w:rsidR="00BE5D10" w:rsidRPr="000143A5">
        <w:rPr>
          <w:rFonts w:asciiTheme="minorHAnsi" w:hAnsiTheme="minorHAnsi" w:cstheme="minorHAnsi"/>
          <w:sz w:val="22"/>
          <w:szCs w:val="22"/>
        </w:rPr>
        <w:t xml:space="preserve"> </w:t>
      </w:r>
      <w:r w:rsidR="00F43696" w:rsidRPr="000143A5">
        <w:rPr>
          <w:rFonts w:asciiTheme="minorHAnsi" w:hAnsiTheme="minorHAnsi" w:cstheme="minorHAnsi"/>
          <w:sz w:val="22"/>
          <w:szCs w:val="22"/>
        </w:rPr>
        <w:t>(eGFR &lt; 30 ml/min)</w:t>
      </w:r>
      <w:r w:rsidRPr="000143A5">
        <w:rPr>
          <w:rFonts w:asciiTheme="minorHAnsi" w:hAnsiTheme="minorHAnsi" w:cstheme="minorHAnsi"/>
          <w:sz w:val="22"/>
          <w:szCs w:val="22"/>
        </w:rPr>
        <w:t>. See below for renal dosage adjustment.</w:t>
      </w:r>
    </w:p>
    <w:p w14:paraId="27910907" w14:textId="41EA0E5F" w:rsidR="000143A5" w:rsidRPr="000143A5" w:rsidRDefault="000143A5" w:rsidP="006C3AF0">
      <w:pPr>
        <w:pStyle w:val="NormalWeb"/>
        <w:numPr>
          <w:ilvl w:val="0"/>
          <w:numId w:val="23"/>
        </w:numPr>
        <w:shd w:val="clear" w:color="auto" w:fill="FFFFFF"/>
        <w:spacing w:before="0" w:beforeAutospacing="0" w:after="0" w:afterAutospacing="0"/>
        <w:rPr>
          <w:rFonts w:asciiTheme="minorHAnsi" w:hAnsiTheme="minorHAnsi" w:cstheme="minorHAnsi"/>
          <w:sz w:val="22"/>
          <w:szCs w:val="22"/>
        </w:rPr>
      </w:pPr>
      <w:r w:rsidRPr="000143A5">
        <w:rPr>
          <w:rFonts w:asciiTheme="minorHAnsi" w:hAnsiTheme="minorHAnsi" w:cstheme="minorHAnsi"/>
          <w:sz w:val="22"/>
          <w:szCs w:val="22"/>
        </w:rPr>
        <w:t>History of advanced decompensated liver cirrhosis</w:t>
      </w:r>
    </w:p>
    <w:p w14:paraId="1CE48549" w14:textId="78CFF9C5" w:rsidR="00C10E23" w:rsidRPr="000143A5" w:rsidRDefault="00DB788F" w:rsidP="00DB788F">
      <w:pPr>
        <w:spacing w:before="120"/>
        <w:rPr>
          <w:rFonts w:asciiTheme="minorHAnsi" w:hAnsiTheme="minorHAnsi" w:cstheme="minorHAnsi"/>
          <w:b/>
          <w:sz w:val="22"/>
          <w:szCs w:val="22"/>
        </w:rPr>
      </w:pPr>
      <w:r w:rsidRPr="000143A5">
        <w:rPr>
          <w:rFonts w:asciiTheme="minorHAnsi" w:hAnsiTheme="minorHAnsi" w:cstheme="minorHAnsi"/>
          <w:b/>
          <w:sz w:val="22"/>
          <w:szCs w:val="22"/>
        </w:rPr>
        <w:t>Remdesivir</w:t>
      </w:r>
    </w:p>
    <w:p w14:paraId="745D93CA" w14:textId="3E5786C8" w:rsidR="000143A5" w:rsidRDefault="000143A5" w:rsidP="000143A5">
      <w:pPr>
        <w:pStyle w:val="ListParagraph"/>
        <w:numPr>
          <w:ilvl w:val="0"/>
          <w:numId w:val="37"/>
        </w:numPr>
        <w:rPr>
          <w:rFonts w:cstheme="minorHAnsi"/>
        </w:rPr>
      </w:pPr>
      <w:r w:rsidRPr="000143A5">
        <w:rPr>
          <w:rFonts w:cstheme="minorHAnsi"/>
        </w:rPr>
        <w:t>Treatment with PF-07321332 (nirmatrelvir) plus ritonavir (Paxlovid</w:t>
      </w:r>
      <w:r w:rsidRPr="000143A5">
        <w:rPr>
          <w:rStyle w:val="markedcontent"/>
          <w:rFonts w:cstheme="minorHAnsi"/>
        </w:rPr>
        <w:t>®</w:t>
      </w:r>
      <w:r w:rsidRPr="000143A5">
        <w:rPr>
          <w:rFonts w:cstheme="minorHAnsi"/>
        </w:rPr>
        <w:t>) is contraindicated or not possible</w:t>
      </w:r>
    </w:p>
    <w:p w14:paraId="07A0ACB3" w14:textId="77777777" w:rsidR="000143A5" w:rsidRPr="000143A5" w:rsidRDefault="000143A5" w:rsidP="000143A5">
      <w:pPr>
        <w:pStyle w:val="ListParagraph"/>
        <w:numPr>
          <w:ilvl w:val="0"/>
          <w:numId w:val="37"/>
        </w:numPr>
        <w:rPr>
          <w:rFonts w:cstheme="minorHAnsi"/>
        </w:rPr>
      </w:pPr>
      <w:r w:rsidRPr="000143A5">
        <w:rPr>
          <w:rFonts w:cstheme="minorHAnsi"/>
        </w:rPr>
        <w:t xml:space="preserve">Estimated glomerular filtration rate (eGFR) &lt;30 mL/min (except in patients with end-stage </w:t>
      </w:r>
    </w:p>
    <w:p w14:paraId="3A0E0CFE" w14:textId="77777777" w:rsidR="000143A5" w:rsidRPr="000143A5" w:rsidRDefault="000143A5" w:rsidP="000143A5">
      <w:pPr>
        <w:pStyle w:val="ListParagraph"/>
        <w:rPr>
          <w:rFonts w:cstheme="minorHAnsi"/>
        </w:rPr>
      </w:pPr>
      <w:r w:rsidRPr="000143A5">
        <w:rPr>
          <w:rFonts w:cstheme="minorHAnsi"/>
        </w:rPr>
        <w:t>renal disease on haemodialysis)</w:t>
      </w:r>
    </w:p>
    <w:p w14:paraId="3ED31909" w14:textId="73269D88" w:rsidR="000143A5" w:rsidRDefault="000143A5" w:rsidP="000143A5">
      <w:pPr>
        <w:pStyle w:val="ListParagraph"/>
        <w:numPr>
          <w:ilvl w:val="0"/>
          <w:numId w:val="37"/>
        </w:numPr>
        <w:rPr>
          <w:rFonts w:cstheme="minorHAnsi"/>
        </w:rPr>
      </w:pPr>
      <w:r w:rsidRPr="000143A5">
        <w:rPr>
          <w:rFonts w:cstheme="minorHAnsi"/>
        </w:rPr>
        <w:t>Alanine transaminase (ALT) ≥ 5 times the upper limit of norma</w:t>
      </w:r>
      <w:r>
        <w:rPr>
          <w:rFonts w:cstheme="minorHAnsi"/>
        </w:rPr>
        <w:t>l.</w:t>
      </w:r>
    </w:p>
    <w:p w14:paraId="2B767181" w14:textId="77777777" w:rsidR="000143A5" w:rsidRPr="000143A5" w:rsidRDefault="000143A5" w:rsidP="000143A5">
      <w:pPr>
        <w:pStyle w:val="ListParagraph"/>
        <w:rPr>
          <w:rFonts w:cstheme="minorHAnsi"/>
        </w:rPr>
      </w:pPr>
    </w:p>
    <w:p w14:paraId="05D9EFFB" w14:textId="4F27A433" w:rsidR="002A29B1" w:rsidRPr="000143A5" w:rsidRDefault="00C10E23" w:rsidP="006B3CF8">
      <w:pPr>
        <w:spacing w:before="120"/>
        <w:rPr>
          <w:rFonts w:asciiTheme="minorHAnsi" w:hAnsiTheme="minorHAnsi" w:cstheme="minorHAnsi"/>
          <w:b/>
          <w:sz w:val="22"/>
          <w:szCs w:val="22"/>
          <w:u w:val="single"/>
        </w:rPr>
      </w:pPr>
      <w:r w:rsidRPr="000143A5">
        <w:rPr>
          <w:rFonts w:asciiTheme="minorHAnsi" w:hAnsiTheme="minorHAnsi" w:cstheme="minorHAnsi"/>
          <w:b/>
          <w:sz w:val="22"/>
          <w:szCs w:val="22"/>
          <w:u w:val="single"/>
        </w:rPr>
        <w:t>Cautions and Drug Interactions</w:t>
      </w:r>
    </w:p>
    <w:p w14:paraId="48D1B57A" w14:textId="77777777" w:rsidR="003545ED" w:rsidRPr="000143A5" w:rsidRDefault="003545ED" w:rsidP="00496827">
      <w:pPr>
        <w:spacing w:before="120"/>
        <w:rPr>
          <w:rFonts w:asciiTheme="minorHAnsi" w:hAnsiTheme="minorHAnsi" w:cstheme="minorHAnsi"/>
          <w:b/>
          <w:sz w:val="22"/>
          <w:szCs w:val="22"/>
          <w:u w:val="single"/>
        </w:rPr>
      </w:pPr>
      <w:r w:rsidRPr="000143A5">
        <w:rPr>
          <w:rFonts w:asciiTheme="minorHAnsi" w:hAnsiTheme="minorHAnsi" w:cstheme="minorHAnsi"/>
          <w:b/>
          <w:sz w:val="22"/>
          <w:szCs w:val="22"/>
          <w:u w:val="single"/>
        </w:rPr>
        <w:t>Hepatic Impairment</w:t>
      </w:r>
    </w:p>
    <w:p w14:paraId="302BDC58" w14:textId="77777777" w:rsidR="00BE5D10" w:rsidRPr="000143A5" w:rsidRDefault="00496827" w:rsidP="00496827">
      <w:pPr>
        <w:spacing w:before="120"/>
        <w:rPr>
          <w:rFonts w:asciiTheme="minorHAnsi" w:hAnsiTheme="minorHAnsi" w:cstheme="minorHAnsi"/>
          <w:sz w:val="22"/>
          <w:szCs w:val="22"/>
        </w:rPr>
      </w:pPr>
      <w:r w:rsidRPr="000143A5">
        <w:rPr>
          <w:rFonts w:asciiTheme="minorHAnsi" w:hAnsiTheme="minorHAnsi" w:cstheme="minorHAnsi"/>
          <w:sz w:val="22"/>
          <w:szCs w:val="22"/>
        </w:rPr>
        <w:t xml:space="preserve">Hepatic transaminase elevations, clinical hepatitis and jaundice have occurred in patients receiving ritonavir. Therefore, caution should be exercised when administering </w:t>
      </w:r>
      <w:r w:rsidRPr="000143A5">
        <w:rPr>
          <w:rFonts w:asciiTheme="minorHAnsi" w:hAnsiTheme="minorHAnsi" w:cstheme="minorHAnsi"/>
          <w:b/>
          <w:sz w:val="22"/>
          <w:szCs w:val="22"/>
        </w:rPr>
        <w:t>PF-07321332 (nirmatrelvir) plus ritonavir (Paxlovid</w:t>
      </w:r>
      <w:r w:rsidRPr="000143A5">
        <w:rPr>
          <w:rStyle w:val="markedcontent"/>
          <w:rFonts w:asciiTheme="minorHAnsi" w:hAnsiTheme="minorHAnsi" w:cstheme="minorHAnsi"/>
          <w:b/>
          <w:sz w:val="22"/>
          <w:szCs w:val="22"/>
        </w:rPr>
        <w:t>®</w:t>
      </w:r>
      <w:r w:rsidRPr="000143A5">
        <w:rPr>
          <w:rFonts w:asciiTheme="minorHAnsi" w:hAnsiTheme="minorHAnsi" w:cstheme="minorHAnsi"/>
          <w:b/>
          <w:sz w:val="22"/>
          <w:szCs w:val="22"/>
        </w:rPr>
        <w:t>)</w:t>
      </w:r>
      <w:r w:rsidRPr="000143A5">
        <w:rPr>
          <w:rFonts w:asciiTheme="minorHAnsi" w:hAnsiTheme="minorHAnsi" w:cstheme="minorHAnsi"/>
          <w:sz w:val="22"/>
          <w:szCs w:val="22"/>
        </w:rPr>
        <w:t xml:space="preserve"> to patients with pre-existing liver diseases, liver enzyme abnormalities or hepatitis.</w:t>
      </w:r>
    </w:p>
    <w:p w14:paraId="278916BB" w14:textId="77777777" w:rsidR="00531188" w:rsidRPr="000143A5" w:rsidRDefault="00531188" w:rsidP="00C375F9">
      <w:pPr>
        <w:spacing w:before="120"/>
        <w:rPr>
          <w:rFonts w:asciiTheme="minorHAnsi" w:hAnsiTheme="minorHAnsi" w:cstheme="minorHAnsi"/>
          <w:sz w:val="22"/>
          <w:szCs w:val="22"/>
        </w:rPr>
      </w:pPr>
    </w:p>
    <w:p w14:paraId="1BC8A2FB" w14:textId="71997777" w:rsidR="00C375F9" w:rsidRPr="000143A5" w:rsidRDefault="00C375F9" w:rsidP="00C375F9">
      <w:pPr>
        <w:spacing w:before="120"/>
        <w:rPr>
          <w:rFonts w:asciiTheme="minorHAnsi" w:hAnsiTheme="minorHAnsi" w:cstheme="minorHAnsi"/>
          <w:sz w:val="22"/>
          <w:szCs w:val="22"/>
        </w:rPr>
      </w:pPr>
      <w:r w:rsidRPr="000143A5">
        <w:rPr>
          <w:rFonts w:asciiTheme="minorHAnsi" w:hAnsiTheme="minorHAnsi" w:cstheme="minorHAnsi"/>
          <w:sz w:val="22"/>
          <w:szCs w:val="22"/>
        </w:rPr>
        <w:t xml:space="preserve">For </w:t>
      </w:r>
      <w:r w:rsidRPr="000143A5">
        <w:rPr>
          <w:rFonts w:asciiTheme="minorHAnsi" w:hAnsiTheme="minorHAnsi" w:cstheme="minorHAnsi"/>
          <w:b/>
          <w:sz w:val="22"/>
          <w:szCs w:val="22"/>
        </w:rPr>
        <w:t>remdesivir</w:t>
      </w:r>
      <w:r w:rsidRPr="000143A5">
        <w:rPr>
          <w:rFonts w:asciiTheme="minorHAnsi" w:hAnsiTheme="minorHAnsi" w:cstheme="minorHAnsi"/>
          <w:sz w:val="22"/>
          <w:szCs w:val="22"/>
        </w:rPr>
        <w:t xml:space="preserve"> the patient’s alanine aminotransferase (ALT) must be below 5 times the upper limit of normal at baseline. Remdesivir should also be discontinued in patients who develop </w:t>
      </w:r>
      <w:r w:rsidR="00256BC2" w:rsidRPr="000143A5">
        <w:rPr>
          <w:rFonts w:asciiTheme="minorHAnsi" w:hAnsiTheme="minorHAnsi" w:cstheme="minorHAnsi"/>
          <w:sz w:val="22"/>
          <w:szCs w:val="22"/>
        </w:rPr>
        <w:t>either</w:t>
      </w:r>
      <w:r w:rsidRPr="000143A5">
        <w:rPr>
          <w:rFonts w:asciiTheme="minorHAnsi" w:hAnsiTheme="minorHAnsi" w:cstheme="minorHAnsi"/>
          <w:sz w:val="22"/>
          <w:szCs w:val="22"/>
        </w:rPr>
        <w:t xml:space="preserve"> of the following</w:t>
      </w:r>
      <w:r w:rsidR="00256BC2" w:rsidRPr="000143A5">
        <w:rPr>
          <w:rFonts w:asciiTheme="minorHAnsi" w:hAnsiTheme="minorHAnsi" w:cstheme="minorHAnsi"/>
          <w:sz w:val="22"/>
          <w:szCs w:val="22"/>
        </w:rPr>
        <w:t xml:space="preserve"> during treatment</w:t>
      </w:r>
      <w:r w:rsidRPr="000143A5">
        <w:rPr>
          <w:rFonts w:asciiTheme="minorHAnsi" w:hAnsiTheme="minorHAnsi" w:cstheme="minorHAnsi"/>
          <w:sz w:val="22"/>
          <w:szCs w:val="22"/>
        </w:rPr>
        <w:t xml:space="preserve">: </w:t>
      </w:r>
    </w:p>
    <w:p w14:paraId="449C0DFA" w14:textId="44D3851F" w:rsidR="00C375F9" w:rsidRPr="000143A5" w:rsidRDefault="00C375F9" w:rsidP="00C375F9">
      <w:pPr>
        <w:pStyle w:val="ListParagraph"/>
        <w:numPr>
          <w:ilvl w:val="0"/>
          <w:numId w:val="27"/>
        </w:numPr>
        <w:spacing w:before="120"/>
        <w:rPr>
          <w:rFonts w:cstheme="minorHAnsi"/>
        </w:rPr>
      </w:pPr>
      <w:r w:rsidRPr="000143A5">
        <w:rPr>
          <w:rFonts w:cstheme="minorHAnsi"/>
        </w:rPr>
        <w:t>ALT ≥ 5 times the upper limit of normal during treatment with remdesivir (</w:t>
      </w:r>
      <w:r w:rsidR="001125B7" w:rsidRPr="000143A5">
        <w:rPr>
          <w:rFonts w:cstheme="minorHAnsi"/>
        </w:rPr>
        <w:t>remdesivir may</w:t>
      </w:r>
      <w:r w:rsidRPr="000143A5">
        <w:rPr>
          <w:rFonts w:cstheme="minorHAnsi"/>
        </w:rPr>
        <w:t xml:space="preserve"> be restarted when ALT is &lt; 5 t</w:t>
      </w:r>
      <w:r w:rsidR="00256BC2" w:rsidRPr="000143A5">
        <w:rPr>
          <w:rFonts w:cstheme="minorHAnsi"/>
        </w:rPr>
        <w:t>imes the upper limit of normal).</w:t>
      </w:r>
    </w:p>
    <w:p w14:paraId="07BC23B0" w14:textId="755F8013" w:rsidR="00C375F9" w:rsidRPr="000143A5" w:rsidRDefault="00C375F9" w:rsidP="00496827">
      <w:pPr>
        <w:pStyle w:val="ListParagraph"/>
        <w:numPr>
          <w:ilvl w:val="0"/>
          <w:numId w:val="27"/>
        </w:numPr>
        <w:spacing w:before="120"/>
        <w:rPr>
          <w:rFonts w:cstheme="minorHAnsi"/>
        </w:rPr>
      </w:pPr>
      <w:r w:rsidRPr="000143A5">
        <w:rPr>
          <w:rFonts w:cstheme="minorHAnsi"/>
        </w:rPr>
        <w:t xml:space="preserve">ALT elevation accompanied by signs or symptoms of liver inflammation or </w:t>
      </w:r>
      <w:r w:rsidR="001125B7" w:rsidRPr="000143A5">
        <w:rPr>
          <w:rFonts w:cstheme="minorHAnsi"/>
        </w:rPr>
        <w:t>increasing conjugated</w:t>
      </w:r>
      <w:r w:rsidRPr="000143A5">
        <w:rPr>
          <w:rFonts w:cstheme="minorHAnsi"/>
        </w:rPr>
        <w:t xml:space="preserve"> bilirubin, alkaline phosphatase, or inter</w:t>
      </w:r>
      <w:r w:rsidR="00256BC2" w:rsidRPr="000143A5">
        <w:rPr>
          <w:rFonts w:cstheme="minorHAnsi"/>
        </w:rPr>
        <w:t>national normalised ratio (INR).</w:t>
      </w:r>
    </w:p>
    <w:p w14:paraId="20EF787D" w14:textId="77777777" w:rsidR="00256BC2" w:rsidRPr="000143A5" w:rsidRDefault="00256BC2" w:rsidP="00496827">
      <w:pPr>
        <w:spacing w:before="120"/>
        <w:rPr>
          <w:rFonts w:asciiTheme="minorHAnsi" w:hAnsiTheme="minorHAnsi" w:cstheme="minorHAnsi"/>
          <w:b/>
          <w:sz w:val="22"/>
          <w:szCs w:val="22"/>
        </w:rPr>
      </w:pPr>
    </w:p>
    <w:p w14:paraId="11096454" w14:textId="77777777" w:rsidR="00E73228" w:rsidRPr="000143A5" w:rsidRDefault="00E73228" w:rsidP="00496827">
      <w:pPr>
        <w:spacing w:before="120"/>
        <w:rPr>
          <w:rFonts w:asciiTheme="minorHAnsi" w:hAnsiTheme="minorHAnsi" w:cstheme="minorHAnsi"/>
          <w:b/>
          <w:sz w:val="22"/>
          <w:szCs w:val="22"/>
        </w:rPr>
      </w:pPr>
    </w:p>
    <w:p w14:paraId="1DB0D956" w14:textId="1DEC65C8" w:rsidR="003545ED" w:rsidRPr="000143A5" w:rsidRDefault="003545ED" w:rsidP="00496827">
      <w:pPr>
        <w:spacing w:before="120"/>
        <w:rPr>
          <w:rFonts w:asciiTheme="minorHAnsi" w:hAnsiTheme="minorHAnsi" w:cstheme="minorHAnsi"/>
          <w:b/>
          <w:sz w:val="22"/>
          <w:szCs w:val="22"/>
          <w:u w:val="single"/>
        </w:rPr>
      </w:pPr>
      <w:r w:rsidRPr="000143A5">
        <w:rPr>
          <w:rFonts w:asciiTheme="minorHAnsi" w:hAnsiTheme="minorHAnsi" w:cstheme="minorHAnsi"/>
          <w:b/>
          <w:sz w:val="22"/>
          <w:szCs w:val="22"/>
          <w:u w:val="single"/>
        </w:rPr>
        <w:t>Renal Impairment</w:t>
      </w:r>
    </w:p>
    <w:p w14:paraId="248E8904" w14:textId="0272F29F" w:rsidR="00E57021" w:rsidRPr="000143A5" w:rsidRDefault="00E57021" w:rsidP="00496827">
      <w:pPr>
        <w:spacing w:before="120"/>
        <w:rPr>
          <w:rFonts w:asciiTheme="minorHAnsi" w:hAnsiTheme="minorHAnsi" w:cstheme="minorHAnsi"/>
          <w:sz w:val="22"/>
          <w:szCs w:val="22"/>
        </w:rPr>
      </w:pPr>
      <w:r w:rsidRPr="000143A5">
        <w:rPr>
          <w:rFonts w:asciiTheme="minorHAnsi" w:hAnsiTheme="minorHAnsi" w:cstheme="minorHAnsi"/>
          <w:sz w:val="22"/>
          <w:szCs w:val="22"/>
        </w:rPr>
        <w:t>In patients with moderate renal impairment</w:t>
      </w:r>
      <w:r w:rsidR="00F43696" w:rsidRPr="000143A5">
        <w:rPr>
          <w:rFonts w:asciiTheme="minorHAnsi" w:hAnsiTheme="minorHAnsi" w:cstheme="minorHAnsi"/>
          <w:sz w:val="22"/>
          <w:szCs w:val="22"/>
        </w:rPr>
        <w:t xml:space="preserve"> (eGFR 30 – 59 ml/min)</w:t>
      </w:r>
      <w:r w:rsidRPr="000143A5">
        <w:rPr>
          <w:rFonts w:asciiTheme="minorHAnsi" w:hAnsiTheme="minorHAnsi" w:cstheme="minorHAnsi"/>
          <w:sz w:val="22"/>
          <w:szCs w:val="22"/>
        </w:rPr>
        <w:t xml:space="preserve">, the dose of </w:t>
      </w:r>
      <w:r w:rsidR="00C375F9" w:rsidRPr="000143A5">
        <w:rPr>
          <w:rFonts w:asciiTheme="minorHAnsi" w:hAnsiTheme="minorHAnsi" w:cstheme="minorHAnsi"/>
          <w:b/>
          <w:sz w:val="22"/>
          <w:szCs w:val="22"/>
        </w:rPr>
        <w:t>PF 07321332/ritonavir (Paxlovid</w:t>
      </w:r>
      <w:r w:rsidR="00C375F9" w:rsidRPr="000143A5">
        <w:rPr>
          <w:rStyle w:val="markedcontent"/>
          <w:rFonts w:asciiTheme="minorHAnsi" w:hAnsiTheme="minorHAnsi" w:cstheme="minorHAnsi"/>
          <w:b/>
          <w:sz w:val="22"/>
          <w:szCs w:val="22"/>
        </w:rPr>
        <w:t>®)</w:t>
      </w:r>
      <w:r w:rsidR="00C375F9" w:rsidRPr="000143A5">
        <w:rPr>
          <w:rStyle w:val="markedcontent"/>
          <w:rFonts w:asciiTheme="minorHAnsi" w:hAnsiTheme="minorHAnsi" w:cstheme="minorHAnsi"/>
          <w:sz w:val="22"/>
          <w:szCs w:val="22"/>
        </w:rPr>
        <w:t xml:space="preserve"> </w:t>
      </w:r>
      <w:r w:rsidRPr="000143A5">
        <w:rPr>
          <w:rFonts w:asciiTheme="minorHAnsi" w:hAnsiTheme="minorHAnsi" w:cstheme="minorHAnsi"/>
          <w:sz w:val="22"/>
          <w:szCs w:val="22"/>
        </w:rPr>
        <w:t>should be reduced to 150 mg/100 mg (1 tablet of each) twice daily for 5 days.</w:t>
      </w:r>
    </w:p>
    <w:p w14:paraId="29BBF20E" w14:textId="77777777" w:rsidR="00DB788F" w:rsidRPr="000143A5" w:rsidRDefault="00256BC2" w:rsidP="00496827">
      <w:pPr>
        <w:spacing w:before="120"/>
        <w:rPr>
          <w:rFonts w:asciiTheme="minorHAnsi" w:hAnsiTheme="minorHAnsi" w:cstheme="minorHAnsi"/>
          <w:sz w:val="22"/>
          <w:szCs w:val="22"/>
        </w:rPr>
      </w:pPr>
      <w:r w:rsidRPr="000143A5">
        <w:rPr>
          <w:rFonts w:asciiTheme="minorHAnsi" w:hAnsiTheme="minorHAnsi" w:cstheme="minorHAnsi"/>
          <w:b/>
          <w:sz w:val="22"/>
          <w:szCs w:val="22"/>
        </w:rPr>
        <w:lastRenderedPageBreak/>
        <w:t>Remdesivir</w:t>
      </w:r>
      <w:r w:rsidRPr="000143A5">
        <w:rPr>
          <w:rFonts w:asciiTheme="minorHAnsi" w:hAnsiTheme="minorHAnsi" w:cstheme="minorHAnsi"/>
          <w:sz w:val="22"/>
          <w:szCs w:val="22"/>
        </w:rPr>
        <w:t xml:space="preserve"> should</w:t>
      </w:r>
      <w:r w:rsidR="00DB788F" w:rsidRPr="000143A5">
        <w:rPr>
          <w:rFonts w:asciiTheme="minorHAnsi" w:hAnsiTheme="minorHAnsi" w:cstheme="minorHAnsi"/>
          <w:sz w:val="22"/>
          <w:szCs w:val="22"/>
        </w:rPr>
        <w:t xml:space="preserve"> not be given to patients with an eGFR/CrCl &lt; 30 mL/min (except in patients with end-stage renal disease on haemodialysis).</w:t>
      </w:r>
      <w:r w:rsidRPr="000143A5">
        <w:rPr>
          <w:rFonts w:asciiTheme="minorHAnsi" w:hAnsiTheme="minorHAnsi" w:cstheme="minorHAnsi"/>
          <w:sz w:val="22"/>
          <w:szCs w:val="22"/>
        </w:rPr>
        <w:t xml:space="preserve"> </w:t>
      </w:r>
    </w:p>
    <w:p w14:paraId="36B07F77" w14:textId="02F15264" w:rsidR="00256BC2" w:rsidRPr="000143A5" w:rsidRDefault="00DB788F" w:rsidP="00496827">
      <w:pPr>
        <w:spacing w:before="120"/>
        <w:rPr>
          <w:rFonts w:asciiTheme="minorHAnsi" w:hAnsiTheme="minorHAnsi" w:cstheme="minorHAnsi"/>
          <w:sz w:val="22"/>
          <w:szCs w:val="22"/>
        </w:rPr>
      </w:pPr>
      <w:r w:rsidRPr="000143A5">
        <w:rPr>
          <w:rFonts w:asciiTheme="minorHAnsi" w:hAnsiTheme="minorHAnsi" w:cstheme="minorHAnsi"/>
          <w:sz w:val="22"/>
          <w:szCs w:val="22"/>
        </w:rPr>
        <w:t xml:space="preserve">It should </w:t>
      </w:r>
      <w:r w:rsidR="00256BC2" w:rsidRPr="000143A5">
        <w:rPr>
          <w:rFonts w:asciiTheme="minorHAnsi" w:hAnsiTheme="minorHAnsi" w:cstheme="minorHAnsi"/>
          <w:sz w:val="22"/>
          <w:szCs w:val="22"/>
        </w:rPr>
        <w:t xml:space="preserve">be discontinued in patients who develop an eGFR &lt; 30 mL/min (except in patients with end-stage renal disease </w:t>
      </w:r>
      <w:r w:rsidR="001125B7" w:rsidRPr="000143A5">
        <w:rPr>
          <w:rFonts w:asciiTheme="minorHAnsi" w:hAnsiTheme="minorHAnsi" w:cstheme="minorHAnsi"/>
          <w:sz w:val="22"/>
          <w:szCs w:val="22"/>
        </w:rPr>
        <w:t>on haemodialysis</w:t>
      </w:r>
      <w:r w:rsidR="00256BC2" w:rsidRPr="000143A5">
        <w:rPr>
          <w:rFonts w:asciiTheme="minorHAnsi" w:hAnsiTheme="minorHAnsi" w:cstheme="minorHAnsi"/>
          <w:sz w:val="22"/>
          <w:szCs w:val="22"/>
        </w:rPr>
        <w:t>)</w:t>
      </w:r>
      <w:r w:rsidRPr="000143A5">
        <w:rPr>
          <w:rFonts w:asciiTheme="minorHAnsi" w:hAnsiTheme="minorHAnsi" w:cstheme="minorHAnsi"/>
          <w:sz w:val="22"/>
          <w:szCs w:val="22"/>
        </w:rPr>
        <w:t xml:space="preserve">, while on </w:t>
      </w:r>
      <w:r w:rsidR="00E73228" w:rsidRPr="000143A5">
        <w:rPr>
          <w:rFonts w:asciiTheme="minorHAnsi" w:hAnsiTheme="minorHAnsi" w:cstheme="minorHAnsi"/>
          <w:sz w:val="22"/>
          <w:szCs w:val="22"/>
        </w:rPr>
        <w:t>treatment</w:t>
      </w:r>
      <w:r w:rsidR="00256BC2" w:rsidRPr="000143A5">
        <w:rPr>
          <w:rFonts w:asciiTheme="minorHAnsi" w:hAnsiTheme="minorHAnsi" w:cstheme="minorHAnsi"/>
          <w:sz w:val="22"/>
          <w:szCs w:val="22"/>
        </w:rPr>
        <w:t>.</w:t>
      </w:r>
    </w:p>
    <w:p w14:paraId="5FBF67BB" w14:textId="359CE85F" w:rsidR="003A416F" w:rsidRPr="000143A5" w:rsidRDefault="003A416F" w:rsidP="00496827">
      <w:pPr>
        <w:spacing w:before="120"/>
        <w:rPr>
          <w:rFonts w:asciiTheme="minorHAnsi" w:hAnsiTheme="minorHAnsi" w:cstheme="minorHAnsi"/>
          <w:sz w:val="22"/>
          <w:szCs w:val="22"/>
        </w:rPr>
      </w:pPr>
    </w:p>
    <w:p w14:paraId="63D007D1" w14:textId="77777777" w:rsidR="000143A5" w:rsidRDefault="000143A5" w:rsidP="00C10E23">
      <w:pPr>
        <w:spacing w:before="120"/>
        <w:rPr>
          <w:rFonts w:asciiTheme="minorHAnsi" w:hAnsiTheme="minorHAnsi" w:cstheme="minorHAnsi"/>
          <w:b/>
          <w:sz w:val="22"/>
          <w:szCs w:val="22"/>
          <w:u w:val="single"/>
        </w:rPr>
      </w:pPr>
    </w:p>
    <w:p w14:paraId="0B2B30F4" w14:textId="63AFA168" w:rsidR="00C10E23" w:rsidRPr="000143A5" w:rsidRDefault="003545ED" w:rsidP="00C10E23">
      <w:pPr>
        <w:spacing w:before="120"/>
        <w:rPr>
          <w:rFonts w:asciiTheme="minorHAnsi" w:hAnsiTheme="minorHAnsi" w:cstheme="minorHAnsi"/>
          <w:b/>
          <w:sz w:val="22"/>
          <w:szCs w:val="22"/>
          <w:u w:val="single"/>
        </w:rPr>
      </w:pPr>
      <w:r w:rsidRPr="000143A5">
        <w:rPr>
          <w:rFonts w:asciiTheme="minorHAnsi" w:hAnsiTheme="minorHAnsi" w:cstheme="minorHAnsi"/>
          <w:b/>
          <w:sz w:val="22"/>
          <w:szCs w:val="22"/>
          <w:u w:val="single"/>
        </w:rPr>
        <w:t>Drug Interactions</w:t>
      </w:r>
    </w:p>
    <w:p w14:paraId="1301B398" w14:textId="11357B61" w:rsidR="003545ED" w:rsidRPr="000143A5" w:rsidRDefault="003545ED" w:rsidP="003545ED">
      <w:pPr>
        <w:spacing w:before="120"/>
        <w:rPr>
          <w:rFonts w:asciiTheme="minorHAnsi" w:hAnsiTheme="minorHAnsi" w:cstheme="minorHAnsi"/>
          <w:sz w:val="22"/>
          <w:szCs w:val="22"/>
        </w:rPr>
      </w:pPr>
      <w:r w:rsidRPr="000143A5">
        <w:rPr>
          <w:rFonts w:asciiTheme="minorHAnsi" w:hAnsiTheme="minorHAnsi" w:cstheme="minorHAnsi"/>
          <w:b/>
          <w:sz w:val="22"/>
          <w:szCs w:val="22"/>
        </w:rPr>
        <w:t>PF-07321332 (nirmatrelvir) plus ritonavir (Paxlovid</w:t>
      </w:r>
      <w:r w:rsidRPr="000143A5">
        <w:rPr>
          <w:rStyle w:val="markedcontent"/>
          <w:rFonts w:asciiTheme="minorHAnsi" w:hAnsiTheme="minorHAnsi" w:cstheme="minorHAnsi"/>
          <w:b/>
          <w:sz w:val="22"/>
          <w:szCs w:val="22"/>
        </w:rPr>
        <w:t>®</w:t>
      </w:r>
      <w:r w:rsidRPr="000143A5">
        <w:rPr>
          <w:rFonts w:asciiTheme="minorHAnsi" w:hAnsiTheme="minorHAnsi" w:cstheme="minorHAnsi"/>
          <w:b/>
          <w:sz w:val="22"/>
          <w:szCs w:val="22"/>
        </w:rPr>
        <w:t>)</w:t>
      </w:r>
      <w:r w:rsidRPr="000143A5">
        <w:rPr>
          <w:rFonts w:asciiTheme="minorHAnsi" w:hAnsiTheme="minorHAnsi" w:cstheme="minorHAnsi"/>
          <w:sz w:val="22"/>
          <w:szCs w:val="22"/>
        </w:rPr>
        <w:t xml:space="preserve"> has a risk of serious adverse reactions due to interactions with other me</w:t>
      </w:r>
      <w:r w:rsidR="00E73228" w:rsidRPr="000143A5">
        <w:rPr>
          <w:rFonts w:asciiTheme="minorHAnsi" w:hAnsiTheme="minorHAnsi" w:cstheme="minorHAnsi"/>
          <w:sz w:val="22"/>
          <w:szCs w:val="22"/>
        </w:rPr>
        <w:t>dicinal products (see appendix 2</w:t>
      </w:r>
      <w:r w:rsidRPr="000143A5">
        <w:rPr>
          <w:rFonts w:asciiTheme="minorHAnsi" w:hAnsiTheme="minorHAnsi" w:cstheme="minorHAnsi"/>
          <w:sz w:val="22"/>
          <w:szCs w:val="22"/>
        </w:rPr>
        <w:t>). It is a CYP3A inhibitor which may result in increased concentrations of concurrent medications that are metabolised by CYP3A.</w:t>
      </w:r>
    </w:p>
    <w:p w14:paraId="4353957A" w14:textId="77777777" w:rsidR="003545ED" w:rsidRPr="000143A5" w:rsidRDefault="003545ED" w:rsidP="003545ED">
      <w:pPr>
        <w:spacing w:before="120"/>
        <w:rPr>
          <w:rFonts w:asciiTheme="minorHAnsi" w:hAnsiTheme="minorHAnsi" w:cstheme="minorHAnsi"/>
          <w:sz w:val="22"/>
          <w:szCs w:val="22"/>
        </w:rPr>
      </w:pPr>
      <w:r w:rsidRPr="000143A5">
        <w:rPr>
          <w:rFonts w:asciiTheme="minorHAnsi" w:hAnsiTheme="minorHAnsi" w:cstheme="minorHAnsi"/>
          <w:sz w:val="22"/>
          <w:szCs w:val="22"/>
        </w:rPr>
        <w:t>Initiation of medicinal products that inhibit or induce CYP3A may increase or decrease concentrations of PF-07321332 (nirmatrelvir) plus ritonavir (Paxlovid</w:t>
      </w:r>
      <w:r w:rsidRPr="000143A5">
        <w:rPr>
          <w:rStyle w:val="markedcontent"/>
          <w:rFonts w:asciiTheme="minorHAnsi" w:hAnsiTheme="minorHAnsi" w:cstheme="minorHAnsi"/>
          <w:sz w:val="22"/>
          <w:szCs w:val="22"/>
        </w:rPr>
        <w:t>®</w:t>
      </w:r>
      <w:r w:rsidRPr="000143A5">
        <w:rPr>
          <w:rFonts w:asciiTheme="minorHAnsi" w:hAnsiTheme="minorHAnsi" w:cstheme="minorHAnsi"/>
          <w:sz w:val="22"/>
          <w:szCs w:val="22"/>
        </w:rPr>
        <w:t>), respectively.</w:t>
      </w:r>
    </w:p>
    <w:p w14:paraId="789A3931" w14:textId="77777777" w:rsidR="003545ED" w:rsidRPr="000143A5" w:rsidRDefault="003545ED" w:rsidP="003545ED">
      <w:pPr>
        <w:spacing w:before="120"/>
        <w:rPr>
          <w:rFonts w:asciiTheme="minorHAnsi" w:hAnsiTheme="minorHAnsi" w:cstheme="minorHAnsi"/>
          <w:sz w:val="22"/>
          <w:szCs w:val="22"/>
        </w:rPr>
      </w:pPr>
      <w:r w:rsidRPr="000143A5">
        <w:rPr>
          <w:rFonts w:asciiTheme="minorHAnsi" w:hAnsiTheme="minorHAnsi" w:cstheme="minorHAnsi"/>
          <w:sz w:val="22"/>
          <w:szCs w:val="22"/>
        </w:rPr>
        <w:t>These interactions may lead to:</w:t>
      </w:r>
    </w:p>
    <w:p w14:paraId="4F90FEC4" w14:textId="77777777" w:rsidR="003545ED" w:rsidRPr="000143A5" w:rsidRDefault="003545ED" w:rsidP="003545ED">
      <w:pPr>
        <w:pStyle w:val="ListParagraph"/>
        <w:numPr>
          <w:ilvl w:val="0"/>
          <w:numId w:val="26"/>
        </w:numPr>
        <w:spacing w:before="120"/>
        <w:rPr>
          <w:rFonts w:cstheme="minorHAnsi"/>
        </w:rPr>
      </w:pPr>
      <w:r w:rsidRPr="000143A5">
        <w:rPr>
          <w:rFonts w:cstheme="minorHAnsi"/>
        </w:rPr>
        <w:t>Clinically significant adverse reactions, potentially leading to severe, life-threatening or fatal events from greater exposures of concomitant medicinal products.</w:t>
      </w:r>
    </w:p>
    <w:p w14:paraId="088A89B0" w14:textId="77777777" w:rsidR="003545ED" w:rsidRPr="000143A5" w:rsidRDefault="003545ED" w:rsidP="003545ED">
      <w:pPr>
        <w:pStyle w:val="ListParagraph"/>
        <w:numPr>
          <w:ilvl w:val="0"/>
          <w:numId w:val="26"/>
        </w:numPr>
        <w:spacing w:before="120"/>
        <w:rPr>
          <w:rFonts w:cstheme="minorHAnsi"/>
        </w:rPr>
      </w:pPr>
      <w:r w:rsidRPr="000143A5">
        <w:rPr>
          <w:rFonts w:cstheme="minorHAnsi"/>
        </w:rPr>
        <w:t>Clinically significant adverse reactions from greater exposures of PF-07321332 (nirmatrelvir) plus ritonavir (Paxlovid</w:t>
      </w:r>
      <w:r w:rsidRPr="000143A5">
        <w:rPr>
          <w:rStyle w:val="markedcontent"/>
          <w:rFonts w:cstheme="minorHAnsi"/>
        </w:rPr>
        <w:t>®</w:t>
      </w:r>
      <w:r w:rsidRPr="000143A5">
        <w:rPr>
          <w:rFonts w:cstheme="minorHAnsi"/>
        </w:rPr>
        <w:t>).</w:t>
      </w:r>
    </w:p>
    <w:p w14:paraId="45D0C84E" w14:textId="77777777" w:rsidR="003545ED" w:rsidRPr="000143A5" w:rsidRDefault="003545ED" w:rsidP="003545ED">
      <w:pPr>
        <w:pStyle w:val="ListParagraph"/>
        <w:numPr>
          <w:ilvl w:val="0"/>
          <w:numId w:val="26"/>
        </w:numPr>
        <w:spacing w:before="120"/>
        <w:rPr>
          <w:rFonts w:cstheme="minorHAnsi"/>
        </w:rPr>
      </w:pPr>
      <w:r w:rsidRPr="000143A5">
        <w:rPr>
          <w:rFonts w:cstheme="minorHAnsi"/>
        </w:rPr>
        <w:t>Loss of therapeutic effect of PF-07321332 (nirmatrelvir) plus ritonavir (Paxlovid</w:t>
      </w:r>
      <w:r w:rsidRPr="000143A5">
        <w:rPr>
          <w:rStyle w:val="markedcontent"/>
          <w:rFonts w:cstheme="minorHAnsi"/>
        </w:rPr>
        <w:t>®</w:t>
      </w:r>
      <w:r w:rsidRPr="000143A5">
        <w:rPr>
          <w:rFonts w:cstheme="minorHAnsi"/>
        </w:rPr>
        <w:t>) and possible development of viral resistance.</w:t>
      </w:r>
    </w:p>
    <w:p w14:paraId="75A127FB" w14:textId="28A74F60" w:rsidR="003545ED" w:rsidRPr="000143A5" w:rsidRDefault="003A416F" w:rsidP="003A416F">
      <w:pPr>
        <w:spacing w:before="120"/>
        <w:rPr>
          <w:rFonts w:asciiTheme="minorHAnsi" w:hAnsiTheme="minorHAnsi" w:cstheme="minorHAnsi"/>
          <w:sz w:val="22"/>
          <w:szCs w:val="22"/>
        </w:rPr>
      </w:pPr>
      <w:r w:rsidRPr="000143A5">
        <w:rPr>
          <w:rFonts w:asciiTheme="minorHAnsi" w:hAnsiTheme="minorHAnsi" w:cstheme="minorHAnsi"/>
          <w:sz w:val="22"/>
          <w:szCs w:val="22"/>
        </w:rPr>
        <w:t xml:space="preserve">Please </w:t>
      </w:r>
      <w:r w:rsidRPr="000143A5">
        <w:rPr>
          <w:rStyle w:val="markedcontent"/>
          <w:rFonts w:asciiTheme="minorHAnsi" w:hAnsiTheme="minorHAnsi" w:cstheme="minorHAnsi"/>
          <w:sz w:val="22"/>
          <w:szCs w:val="22"/>
        </w:rPr>
        <w:t xml:space="preserve">check the </w:t>
      </w:r>
      <w:hyperlink r:id="rId18" w:anchor="content,033d17b1-66d9-45eb-a2c0-185dec8ef706" w:history="1">
        <w:r w:rsidRPr="000143A5">
          <w:rPr>
            <w:rStyle w:val="Hyperlink"/>
            <w:rFonts w:asciiTheme="minorHAnsi" w:hAnsiTheme="minorHAnsi" w:cstheme="minorHAnsi"/>
            <w:sz w:val="22"/>
            <w:szCs w:val="22"/>
          </w:rPr>
          <w:t>Paxlovid Interaction Guide</w:t>
        </w:r>
      </w:hyperlink>
      <w:r w:rsidRPr="000143A5">
        <w:rPr>
          <w:rStyle w:val="markedcontent"/>
          <w:rFonts w:asciiTheme="minorHAnsi" w:hAnsiTheme="minorHAnsi" w:cstheme="minorHAnsi"/>
          <w:sz w:val="22"/>
          <w:szCs w:val="22"/>
        </w:rPr>
        <w:t xml:space="preserve"> on Microguide or</w:t>
      </w:r>
      <w:r w:rsidRPr="000143A5">
        <w:rPr>
          <w:rFonts w:asciiTheme="minorHAnsi" w:hAnsiTheme="minorHAnsi" w:cstheme="minorHAnsi"/>
          <w:sz w:val="22"/>
          <w:szCs w:val="22"/>
        </w:rPr>
        <w:t xml:space="preserve"> </w:t>
      </w:r>
      <w:hyperlink r:id="rId19" w:history="1">
        <w:r w:rsidRPr="000143A5">
          <w:rPr>
            <w:rStyle w:val="Hyperlink"/>
            <w:rFonts w:asciiTheme="minorHAnsi" w:hAnsiTheme="minorHAnsi" w:cstheme="minorHAnsi"/>
            <w:color w:val="0000FF"/>
            <w:sz w:val="22"/>
            <w:szCs w:val="22"/>
          </w:rPr>
          <w:t>the University of Liverpool COVID-19 drug interactions</w:t>
        </w:r>
      </w:hyperlink>
      <w:r w:rsidRPr="000143A5">
        <w:rPr>
          <w:rFonts w:asciiTheme="minorHAnsi" w:hAnsiTheme="minorHAnsi" w:cstheme="minorHAnsi"/>
          <w:color w:val="0000FF"/>
          <w:sz w:val="22"/>
          <w:szCs w:val="22"/>
        </w:rPr>
        <w:t xml:space="preserve"> </w:t>
      </w:r>
      <w:r w:rsidRPr="000143A5">
        <w:rPr>
          <w:rFonts w:asciiTheme="minorHAnsi" w:hAnsiTheme="minorHAnsi" w:cstheme="minorHAnsi"/>
          <w:sz w:val="22"/>
          <w:szCs w:val="22"/>
        </w:rPr>
        <w:t>website</w:t>
      </w:r>
    </w:p>
    <w:p w14:paraId="76690BE5" w14:textId="77777777" w:rsidR="003A416F" w:rsidRPr="000143A5" w:rsidRDefault="003A416F" w:rsidP="00C10E23">
      <w:pPr>
        <w:spacing w:before="120"/>
        <w:rPr>
          <w:rFonts w:asciiTheme="minorHAnsi" w:hAnsiTheme="minorHAnsi" w:cstheme="minorHAnsi"/>
          <w:sz w:val="22"/>
          <w:szCs w:val="22"/>
        </w:rPr>
      </w:pPr>
    </w:p>
    <w:p w14:paraId="6E9AEA39" w14:textId="4E683E80" w:rsidR="00C10E23" w:rsidRPr="000143A5" w:rsidRDefault="00C10E23" w:rsidP="00C10E23">
      <w:pPr>
        <w:spacing w:before="120" w:after="240"/>
        <w:rPr>
          <w:rFonts w:asciiTheme="minorHAnsi" w:hAnsiTheme="minorHAnsi" w:cstheme="minorHAnsi"/>
          <w:sz w:val="22"/>
          <w:szCs w:val="22"/>
        </w:rPr>
      </w:pPr>
      <w:r w:rsidRPr="000143A5">
        <w:rPr>
          <w:rStyle w:val="markedcontent"/>
          <w:rFonts w:asciiTheme="minorHAnsi" w:hAnsiTheme="minorHAnsi" w:cstheme="minorHAnsi"/>
          <w:sz w:val="22"/>
          <w:szCs w:val="22"/>
        </w:rPr>
        <w:t>No significant drug inter</w:t>
      </w:r>
      <w:r w:rsidR="009A280F" w:rsidRPr="000143A5">
        <w:rPr>
          <w:rStyle w:val="markedcontent"/>
          <w:rFonts w:asciiTheme="minorHAnsi" w:hAnsiTheme="minorHAnsi" w:cstheme="minorHAnsi"/>
          <w:sz w:val="22"/>
          <w:szCs w:val="22"/>
        </w:rPr>
        <w:t>actions have been described for</w:t>
      </w:r>
      <w:r w:rsidRPr="000143A5">
        <w:rPr>
          <w:rStyle w:val="markedcontent"/>
          <w:rFonts w:asciiTheme="minorHAnsi" w:hAnsiTheme="minorHAnsi" w:cstheme="minorHAnsi"/>
          <w:sz w:val="22"/>
          <w:szCs w:val="22"/>
        </w:rPr>
        <w:t xml:space="preserve"> </w:t>
      </w:r>
      <w:r w:rsidRPr="000143A5">
        <w:rPr>
          <w:rStyle w:val="markedcontent"/>
          <w:rFonts w:asciiTheme="minorHAnsi" w:hAnsiTheme="minorHAnsi" w:cstheme="minorHAnsi"/>
          <w:b/>
          <w:sz w:val="22"/>
          <w:szCs w:val="22"/>
        </w:rPr>
        <w:t>sotrovimab</w:t>
      </w:r>
      <w:r w:rsidRPr="000143A5">
        <w:rPr>
          <w:rStyle w:val="markedcontent"/>
          <w:rFonts w:asciiTheme="minorHAnsi" w:hAnsiTheme="minorHAnsi" w:cstheme="minorHAnsi"/>
          <w:sz w:val="22"/>
          <w:szCs w:val="22"/>
        </w:rPr>
        <w:t>. For up to date information check</w:t>
      </w:r>
      <w:r w:rsidRPr="000143A5">
        <w:rPr>
          <w:rFonts w:asciiTheme="minorHAnsi" w:hAnsiTheme="minorHAnsi" w:cstheme="minorHAnsi"/>
          <w:sz w:val="22"/>
          <w:szCs w:val="22"/>
        </w:rPr>
        <w:t xml:space="preserve"> </w:t>
      </w:r>
      <w:hyperlink r:id="rId20" w:history="1">
        <w:r w:rsidRPr="000143A5">
          <w:rPr>
            <w:rStyle w:val="Hyperlink"/>
            <w:rFonts w:asciiTheme="minorHAnsi" w:hAnsiTheme="minorHAnsi" w:cstheme="minorHAnsi"/>
            <w:color w:val="0000FF"/>
            <w:sz w:val="22"/>
            <w:szCs w:val="22"/>
          </w:rPr>
          <w:t>the University of Liverpool COVID-19 drug interactions</w:t>
        </w:r>
      </w:hyperlink>
      <w:r w:rsidRPr="000143A5">
        <w:rPr>
          <w:rFonts w:asciiTheme="minorHAnsi" w:hAnsiTheme="minorHAnsi" w:cstheme="minorHAnsi"/>
          <w:color w:val="0000FF"/>
          <w:sz w:val="22"/>
          <w:szCs w:val="22"/>
        </w:rPr>
        <w:t xml:space="preserve"> </w:t>
      </w:r>
      <w:r w:rsidRPr="000143A5">
        <w:rPr>
          <w:rFonts w:asciiTheme="minorHAnsi" w:hAnsiTheme="minorHAnsi" w:cstheme="minorHAnsi"/>
          <w:sz w:val="22"/>
          <w:szCs w:val="22"/>
        </w:rPr>
        <w:t>website.</w:t>
      </w:r>
    </w:p>
    <w:p w14:paraId="009B5547" w14:textId="77777777" w:rsidR="003A416F" w:rsidRPr="000143A5" w:rsidRDefault="003A416F" w:rsidP="00C10E23">
      <w:pPr>
        <w:spacing w:line="229" w:lineRule="auto"/>
        <w:ind w:right="486"/>
        <w:jc w:val="both"/>
        <w:rPr>
          <w:rFonts w:asciiTheme="minorHAnsi" w:hAnsiTheme="minorHAnsi" w:cstheme="minorHAnsi"/>
          <w:sz w:val="22"/>
          <w:szCs w:val="22"/>
        </w:rPr>
      </w:pPr>
    </w:p>
    <w:p w14:paraId="481882A5" w14:textId="5F8B5DD3" w:rsidR="00C10E23" w:rsidRPr="000143A5" w:rsidRDefault="00C10E23" w:rsidP="00C10E23">
      <w:pPr>
        <w:spacing w:line="229" w:lineRule="auto"/>
        <w:ind w:right="486"/>
        <w:jc w:val="both"/>
        <w:rPr>
          <w:rFonts w:asciiTheme="minorHAnsi" w:hAnsiTheme="minorHAnsi" w:cstheme="minorHAnsi"/>
          <w:sz w:val="22"/>
          <w:szCs w:val="22"/>
        </w:rPr>
      </w:pPr>
      <w:r w:rsidRPr="000143A5">
        <w:rPr>
          <w:rFonts w:asciiTheme="minorHAnsi" w:hAnsiTheme="minorHAnsi" w:cstheme="minorHAnsi"/>
          <w:sz w:val="22"/>
          <w:szCs w:val="22"/>
        </w:rPr>
        <w:t xml:space="preserve">Drug-drug interaction trials of </w:t>
      </w:r>
      <w:r w:rsidRPr="000143A5">
        <w:rPr>
          <w:rFonts w:asciiTheme="minorHAnsi" w:hAnsiTheme="minorHAnsi" w:cstheme="minorHAnsi"/>
          <w:b/>
          <w:sz w:val="22"/>
          <w:szCs w:val="22"/>
        </w:rPr>
        <w:t>remdesivir</w:t>
      </w:r>
      <w:r w:rsidRPr="000143A5">
        <w:rPr>
          <w:rFonts w:asciiTheme="minorHAnsi" w:hAnsiTheme="minorHAnsi" w:cstheme="minorHAnsi"/>
          <w:sz w:val="22"/>
          <w:szCs w:val="22"/>
        </w:rPr>
        <w:t xml:space="preserve"> have not been conducted in humans. </w:t>
      </w:r>
      <w:r w:rsidRPr="000143A5">
        <w:rPr>
          <w:rFonts w:asciiTheme="minorHAnsi" w:hAnsiTheme="minorHAnsi" w:cstheme="minorHAnsi"/>
          <w:i/>
          <w:sz w:val="22"/>
          <w:szCs w:val="22"/>
        </w:rPr>
        <w:t>In vitro</w:t>
      </w:r>
      <w:r w:rsidRPr="000143A5">
        <w:rPr>
          <w:rFonts w:asciiTheme="minorHAnsi" w:hAnsiTheme="minorHAnsi" w:cstheme="minorHAnsi"/>
          <w:sz w:val="22"/>
          <w:szCs w:val="22"/>
        </w:rPr>
        <w:t xml:space="preserve">, remdesivir is a substrate/inhibitor for enzymes CYP2C8, CYP2D6, and CYP3A4, and is a substrate for P-glycoprotein (P-gp) transporters. The clinical relevance of these </w:t>
      </w:r>
      <w:r w:rsidRPr="000143A5">
        <w:rPr>
          <w:rFonts w:asciiTheme="minorHAnsi" w:hAnsiTheme="minorHAnsi" w:cstheme="minorHAnsi"/>
          <w:i/>
          <w:sz w:val="22"/>
          <w:szCs w:val="22"/>
        </w:rPr>
        <w:t>in vitro</w:t>
      </w:r>
      <w:r w:rsidRPr="000143A5">
        <w:rPr>
          <w:rFonts w:asciiTheme="minorHAnsi" w:hAnsiTheme="minorHAnsi" w:cstheme="minorHAnsi"/>
          <w:sz w:val="22"/>
          <w:szCs w:val="22"/>
        </w:rPr>
        <w:t xml:space="preserve"> drug assessments has not been established. </w:t>
      </w:r>
    </w:p>
    <w:p w14:paraId="6F58CA2E" w14:textId="77777777" w:rsidR="00C10E23" w:rsidRPr="000143A5" w:rsidRDefault="00C10E23" w:rsidP="00C10E23">
      <w:pPr>
        <w:spacing w:before="120"/>
        <w:rPr>
          <w:rFonts w:asciiTheme="minorHAnsi" w:hAnsiTheme="minorHAnsi" w:cstheme="minorHAnsi"/>
          <w:sz w:val="22"/>
          <w:szCs w:val="22"/>
        </w:rPr>
      </w:pPr>
      <w:r w:rsidRPr="000143A5">
        <w:rPr>
          <w:rStyle w:val="markedcontent"/>
          <w:rFonts w:asciiTheme="minorHAnsi" w:hAnsiTheme="minorHAnsi" w:cstheme="minorHAnsi"/>
          <w:sz w:val="22"/>
          <w:szCs w:val="22"/>
        </w:rPr>
        <w:t>For up to date information check</w:t>
      </w:r>
      <w:r w:rsidRPr="000143A5">
        <w:rPr>
          <w:rFonts w:asciiTheme="minorHAnsi" w:hAnsiTheme="minorHAnsi" w:cstheme="minorHAnsi"/>
          <w:sz w:val="22"/>
          <w:szCs w:val="22"/>
        </w:rPr>
        <w:t xml:space="preserve"> </w:t>
      </w:r>
      <w:hyperlink r:id="rId21" w:history="1">
        <w:r w:rsidRPr="000143A5">
          <w:rPr>
            <w:rStyle w:val="Hyperlink"/>
            <w:rFonts w:asciiTheme="minorHAnsi" w:hAnsiTheme="minorHAnsi" w:cstheme="minorHAnsi"/>
            <w:color w:val="0000FF"/>
            <w:sz w:val="22"/>
            <w:szCs w:val="22"/>
          </w:rPr>
          <w:t>the University of Liverpool COVID-19 drug interactions</w:t>
        </w:r>
      </w:hyperlink>
      <w:r w:rsidRPr="000143A5">
        <w:rPr>
          <w:rFonts w:asciiTheme="minorHAnsi" w:hAnsiTheme="minorHAnsi" w:cstheme="minorHAnsi"/>
          <w:color w:val="0000FF"/>
          <w:sz w:val="22"/>
          <w:szCs w:val="22"/>
        </w:rPr>
        <w:t xml:space="preserve"> </w:t>
      </w:r>
      <w:r w:rsidRPr="000143A5">
        <w:rPr>
          <w:rFonts w:asciiTheme="minorHAnsi" w:hAnsiTheme="minorHAnsi" w:cstheme="minorHAnsi"/>
          <w:sz w:val="22"/>
          <w:szCs w:val="22"/>
        </w:rPr>
        <w:t>website.</w:t>
      </w:r>
    </w:p>
    <w:p w14:paraId="7AB431F0" w14:textId="77777777" w:rsidR="003A416F" w:rsidRPr="000143A5" w:rsidRDefault="003A416F" w:rsidP="003545ED">
      <w:pPr>
        <w:spacing w:before="120"/>
        <w:rPr>
          <w:rFonts w:asciiTheme="minorHAnsi" w:hAnsiTheme="minorHAnsi" w:cstheme="minorHAnsi"/>
          <w:sz w:val="22"/>
          <w:szCs w:val="22"/>
        </w:rPr>
      </w:pPr>
    </w:p>
    <w:p w14:paraId="64212333" w14:textId="77777777" w:rsidR="00E73228" w:rsidRPr="000143A5" w:rsidRDefault="003545ED" w:rsidP="006B3CF8">
      <w:pPr>
        <w:spacing w:before="120"/>
        <w:rPr>
          <w:rFonts w:asciiTheme="minorHAnsi" w:hAnsiTheme="minorHAnsi" w:cstheme="minorHAnsi"/>
          <w:sz w:val="22"/>
          <w:szCs w:val="22"/>
        </w:rPr>
      </w:pPr>
      <w:r w:rsidRPr="000143A5">
        <w:rPr>
          <w:rFonts w:asciiTheme="minorHAnsi" w:hAnsiTheme="minorHAnsi" w:cstheme="minorHAnsi"/>
          <w:sz w:val="22"/>
          <w:szCs w:val="22"/>
        </w:rPr>
        <w:t>Refer to the Summary of Product Characteristics (SmPC) for PF-07321332 (nirmatrelvir) plus ritonavir (Paxlovid</w:t>
      </w:r>
      <w:r w:rsidRPr="000143A5">
        <w:rPr>
          <w:rStyle w:val="markedcontent"/>
          <w:rFonts w:asciiTheme="minorHAnsi" w:hAnsiTheme="minorHAnsi" w:cstheme="minorHAnsi"/>
          <w:sz w:val="22"/>
          <w:szCs w:val="22"/>
        </w:rPr>
        <w:t>®</w:t>
      </w:r>
      <w:r w:rsidRPr="000143A5">
        <w:rPr>
          <w:rFonts w:asciiTheme="minorHAnsi" w:hAnsiTheme="minorHAnsi" w:cstheme="minorHAnsi"/>
          <w:sz w:val="22"/>
          <w:szCs w:val="22"/>
        </w:rPr>
        <w:t>), sotrovimab and remdesivir for special warnings and precautions for use.</w:t>
      </w:r>
    </w:p>
    <w:p w14:paraId="4EAF2DAD" w14:textId="77777777" w:rsidR="000143A5" w:rsidRDefault="000143A5" w:rsidP="006B3CF8">
      <w:pPr>
        <w:spacing w:before="120"/>
        <w:rPr>
          <w:rFonts w:asciiTheme="minorHAnsi" w:hAnsiTheme="minorHAnsi" w:cstheme="minorHAnsi"/>
          <w:b/>
          <w:sz w:val="22"/>
          <w:szCs w:val="22"/>
        </w:rPr>
      </w:pPr>
    </w:p>
    <w:p w14:paraId="264F7CF4" w14:textId="77777777" w:rsidR="000143A5" w:rsidRDefault="000143A5" w:rsidP="006B3CF8">
      <w:pPr>
        <w:spacing w:before="120"/>
        <w:rPr>
          <w:rFonts w:asciiTheme="minorHAnsi" w:hAnsiTheme="minorHAnsi" w:cstheme="minorHAnsi"/>
          <w:b/>
          <w:sz w:val="22"/>
          <w:szCs w:val="22"/>
        </w:rPr>
      </w:pPr>
    </w:p>
    <w:p w14:paraId="32F35449" w14:textId="77777777" w:rsidR="000143A5" w:rsidRDefault="000143A5" w:rsidP="006B3CF8">
      <w:pPr>
        <w:spacing w:before="120"/>
        <w:rPr>
          <w:rFonts w:asciiTheme="minorHAnsi" w:hAnsiTheme="minorHAnsi" w:cstheme="minorHAnsi"/>
          <w:b/>
          <w:sz w:val="22"/>
          <w:szCs w:val="22"/>
        </w:rPr>
      </w:pPr>
    </w:p>
    <w:p w14:paraId="7B231838" w14:textId="77777777" w:rsidR="000143A5" w:rsidRDefault="000143A5" w:rsidP="006B3CF8">
      <w:pPr>
        <w:spacing w:before="120"/>
        <w:rPr>
          <w:rFonts w:asciiTheme="minorHAnsi" w:hAnsiTheme="minorHAnsi" w:cstheme="minorHAnsi"/>
          <w:b/>
          <w:sz w:val="22"/>
          <w:szCs w:val="22"/>
        </w:rPr>
      </w:pPr>
    </w:p>
    <w:p w14:paraId="413C3684" w14:textId="178597F4" w:rsidR="002A29B1" w:rsidRPr="000143A5" w:rsidRDefault="00D004FA" w:rsidP="006B3CF8">
      <w:pPr>
        <w:spacing w:before="120"/>
        <w:rPr>
          <w:rFonts w:asciiTheme="minorHAnsi" w:hAnsiTheme="minorHAnsi" w:cstheme="minorHAnsi"/>
          <w:sz w:val="22"/>
          <w:szCs w:val="22"/>
          <w:u w:val="single"/>
        </w:rPr>
      </w:pPr>
      <w:r w:rsidRPr="000143A5">
        <w:rPr>
          <w:rFonts w:asciiTheme="minorHAnsi" w:hAnsiTheme="minorHAnsi" w:cstheme="minorHAnsi"/>
          <w:b/>
          <w:sz w:val="22"/>
          <w:szCs w:val="22"/>
          <w:u w:val="single"/>
        </w:rPr>
        <w:t>Pregnancy &amp; Breastfeeding</w:t>
      </w:r>
    </w:p>
    <w:p w14:paraId="430D6C0F" w14:textId="1DEE053D" w:rsidR="00242CF7" w:rsidRPr="000143A5" w:rsidRDefault="00242CF7" w:rsidP="006B3CF8">
      <w:pPr>
        <w:spacing w:before="120"/>
        <w:rPr>
          <w:rFonts w:asciiTheme="minorHAnsi" w:hAnsiTheme="minorHAnsi" w:cstheme="minorHAnsi"/>
          <w:b/>
          <w:bCs/>
          <w:iCs/>
          <w:sz w:val="22"/>
          <w:szCs w:val="22"/>
        </w:rPr>
      </w:pPr>
      <w:r w:rsidRPr="000143A5">
        <w:rPr>
          <w:rFonts w:asciiTheme="minorHAnsi" w:hAnsiTheme="minorHAnsi" w:cstheme="minorHAnsi"/>
          <w:b/>
          <w:bCs/>
          <w:iCs/>
          <w:sz w:val="22"/>
          <w:szCs w:val="22"/>
        </w:rPr>
        <w:t>Pregnancy</w:t>
      </w:r>
    </w:p>
    <w:p w14:paraId="4D95E051" w14:textId="77777777" w:rsidR="00711EE4" w:rsidRPr="000143A5" w:rsidRDefault="00711EE4" w:rsidP="00711EE4">
      <w:pPr>
        <w:rPr>
          <w:rFonts w:asciiTheme="minorHAnsi" w:hAnsiTheme="minorHAnsi" w:cstheme="minorHAnsi"/>
          <w:sz w:val="22"/>
          <w:szCs w:val="22"/>
        </w:rPr>
      </w:pPr>
    </w:p>
    <w:p w14:paraId="09CB595F" w14:textId="14D05652" w:rsidR="00711EE4" w:rsidRDefault="00711EE4" w:rsidP="00711EE4">
      <w:pPr>
        <w:rPr>
          <w:rFonts w:asciiTheme="minorHAnsi" w:hAnsiTheme="minorHAnsi" w:cstheme="minorHAnsi"/>
          <w:sz w:val="22"/>
          <w:szCs w:val="22"/>
        </w:rPr>
      </w:pPr>
      <w:r w:rsidRPr="000143A5">
        <w:rPr>
          <w:rFonts w:asciiTheme="minorHAnsi" w:hAnsiTheme="minorHAnsi" w:cstheme="minorHAnsi"/>
          <w:sz w:val="22"/>
          <w:szCs w:val="22"/>
        </w:rPr>
        <w:lastRenderedPageBreak/>
        <w:t xml:space="preserve">There are no human data on the use of </w:t>
      </w:r>
      <w:r w:rsidRPr="000143A5">
        <w:rPr>
          <w:rFonts w:asciiTheme="minorHAnsi" w:hAnsiTheme="minorHAnsi" w:cstheme="minorHAnsi"/>
          <w:b/>
          <w:sz w:val="22"/>
          <w:szCs w:val="22"/>
        </w:rPr>
        <w:t>PF-07321332 (nirmatrelvir) plus ritonavir (Paxlovid</w:t>
      </w:r>
      <w:r w:rsidRPr="000143A5">
        <w:rPr>
          <w:rStyle w:val="markedcontent"/>
          <w:rFonts w:asciiTheme="minorHAnsi" w:hAnsiTheme="minorHAnsi" w:cstheme="minorHAnsi"/>
          <w:b/>
          <w:sz w:val="22"/>
          <w:szCs w:val="22"/>
        </w:rPr>
        <w:t>®</w:t>
      </w:r>
      <w:r w:rsidRPr="000143A5">
        <w:rPr>
          <w:rFonts w:asciiTheme="minorHAnsi" w:hAnsiTheme="minorHAnsi" w:cstheme="minorHAnsi"/>
          <w:b/>
          <w:sz w:val="22"/>
          <w:szCs w:val="22"/>
        </w:rPr>
        <w:t>)</w:t>
      </w:r>
      <w:r w:rsidRPr="000143A5">
        <w:rPr>
          <w:rFonts w:asciiTheme="minorHAnsi" w:hAnsiTheme="minorHAnsi" w:cstheme="minorHAnsi"/>
          <w:sz w:val="22"/>
          <w:szCs w:val="22"/>
        </w:rPr>
        <w:t xml:space="preserve"> during pregnancy to inform the drug-associated risk of adverse developmental outcomes, women of childbearing potential should avoid becoming pregnant during treatment with PF-07321332 (nirmatrelvir) plus ritonavir (Paxlovid</w:t>
      </w:r>
      <w:r w:rsidRPr="000143A5">
        <w:rPr>
          <w:rStyle w:val="markedcontent"/>
          <w:rFonts w:asciiTheme="minorHAnsi" w:hAnsiTheme="minorHAnsi" w:cstheme="minorHAnsi"/>
          <w:sz w:val="22"/>
          <w:szCs w:val="22"/>
        </w:rPr>
        <w:t>®</w:t>
      </w:r>
      <w:r w:rsidRPr="000143A5">
        <w:rPr>
          <w:rFonts w:asciiTheme="minorHAnsi" w:hAnsiTheme="minorHAnsi" w:cstheme="minorHAnsi"/>
          <w:sz w:val="22"/>
          <w:szCs w:val="22"/>
        </w:rPr>
        <w:t>). PF-07321332 (nirmatrelvir) plus ritonavir (Paxlovid</w:t>
      </w:r>
      <w:r w:rsidRPr="000143A5">
        <w:rPr>
          <w:rStyle w:val="markedcontent"/>
          <w:rFonts w:asciiTheme="minorHAnsi" w:hAnsiTheme="minorHAnsi" w:cstheme="minorHAnsi"/>
          <w:sz w:val="22"/>
          <w:szCs w:val="22"/>
        </w:rPr>
        <w:t>®</w:t>
      </w:r>
      <w:r w:rsidRPr="000143A5">
        <w:rPr>
          <w:rFonts w:asciiTheme="minorHAnsi" w:hAnsiTheme="minorHAnsi" w:cstheme="minorHAnsi"/>
          <w:sz w:val="22"/>
          <w:szCs w:val="22"/>
        </w:rPr>
        <w:t xml:space="preserve">) is </w:t>
      </w:r>
      <w:r w:rsidRPr="000143A5">
        <w:rPr>
          <w:rFonts w:asciiTheme="minorHAnsi" w:hAnsiTheme="minorHAnsi" w:cstheme="minorHAnsi"/>
          <w:sz w:val="22"/>
          <w:szCs w:val="22"/>
          <w:u w:val="single"/>
        </w:rPr>
        <w:t>not recommended during pregnancy and in women of childbearing potential not using effective contraception</w:t>
      </w:r>
      <w:r w:rsidRPr="000143A5">
        <w:rPr>
          <w:rFonts w:asciiTheme="minorHAnsi" w:hAnsiTheme="minorHAnsi" w:cstheme="minorHAnsi"/>
          <w:sz w:val="22"/>
          <w:szCs w:val="22"/>
        </w:rPr>
        <w:t>.</w:t>
      </w:r>
    </w:p>
    <w:p w14:paraId="178C551E" w14:textId="77777777" w:rsidR="000143A5" w:rsidRPr="000143A5" w:rsidRDefault="000143A5" w:rsidP="00711EE4">
      <w:pPr>
        <w:rPr>
          <w:rFonts w:asciiTheme="minorHAnsi" w:hAnsiTheme="minorHAnsi" w:cstheme="minorHAnsi"/>
          <w:sz w:val="22"/>
          <w:szCs w:val="22"/>
        </w:rPr>
      </w:pPr>
    </w:p>
    <w:p w14:paraId="59305219" w14:textId="77777777" w:rsidR="00711EE4" w:rsidRPr="000143A5" w:rsidRDefault="00711EE4" w:rsidP="00711EE4">
      <w:pPr>
        <w:rPr>
          <w:rFonts w:asciiTheme="minorHAnsi" w:hAnsiTheme="minorHAnsi" w:cstheme="minorHAnsi"/>
          <w:sz w:val="22"/>
          <w:szCs w:val="22"/>
        </w:rPr>
      </w:pPr>
      <w:r w:rsidRPr="000143A5">
        <w:rPr>
          <w:rFonts w:asciiTheme="minorHAnsi" w:hAnsiTheme="minorHAnsi" w:cstheme="minorHAnsi"/>
          <w:sz w:val="22"/>
          <w:szCs w:val="22"/>
          <w:u w:val="single"/>
        </w:rPr>
        <w:t>Use of ritonavir may reduce the efficacy of combined hormonal contraceptives</w:t>
      </w:r>
      <w:r w:rsidRPr="000143A5">
        <w:rPr>
          <w:rFonts w:asciiTheme="minorHAnsi" w:hAnsiTheme="minorHAnsi" w:cstheme="minorHAnsi"/>
          <w:sz w:val="22"/>
          <w:szCs w:val="22"/>
        </w:rPr>
        <w:t>. Patients using combined hormonal contraceptives should be advised to use an effective alternative contraceptive method or an additional barrier method of contraception during treatment and until after one complete menstrual cycle after stopping PF-07321332 (nirmatrelvir) plus ritonavir (Paxlovid</w:t>
      </w:r>
      <w:r w:rsidRPr="000143A5">
        <w:rPr>
          <w:rStyle w:val="markedcontent"/>
          <w:rFonts w:asciiTheme="minorHAnsi" w:hAnsiTheme="minorHAnsi" w:cstheme="minorHAnsi"/>
          <w:sz w:val="22"/>
          <w:szCs w:val="22"/>
        </w:rPr>
        <w:t>®</w:t>
      </w:r>
      <w:r w:rsidRPr="000143A5">
        <w:rPr>
          <w:rFonts w:asciiTheme="minorHAnsi" w:hAnsiTheme="minorHAnsi" w:cstheme="minorHAnsi"/>
          <w:sz w:val="22"/>
          <w:szCs w:val="22"/>
        </w:rPr>
        <w:t>).</w:t>
      </w:r>
    </w:p>
    <w:p w14:paraId="2DCA78F4" w14:textId="77777777" w:rsidR="00711EE4" w:rsidRPr="000143A5" w:rsidRDefault="00711EE4" w:rsidP="00711EE4">
      <w:pPr>
        <w:rPr>
          <w:rFonts w:asciiTheme="minorHAnsi" w:hAnsiTheme="minorHAnsi" w:cstheme="minorHAnsi"/>
          <w:sz w:val="22"/>
          <w:szCs w:val="22"/>
        </w:rPr>
      </w:pPr>
    </w:p>
    <w:p w14:paraId="4B8EE362" w14:textId="77777777" w:rsidR="00711EE4" w:rsidRPr="000143A5" w:rsidRDefault="00711EE4" w:rsidP="00711EE4">
      <w:pPr>
        <w:rPr>
          <w:rFonts w:asciiTheme="minorHAnsi" w:hAnsiTheme="minorHAnsi" w:cstheme="minorHAnsi"/>
          <w:sz w:val="22"/>
          <w:szCs w:val="22"/>
        </w:rPr>
      </w:pPr>
      <w:r w:rsidRPr="000143A5">
        <w:rPr>
          <w:rFonts w:asciiTheme="minorHAnsi" w:hAnsiTheme="minorHAnsi" w:cstheme="minorHAnsi"/>
          <w:sz w:val="22"/>
          <w:szCs w:val="22"/>
        </w:rPr>
        <w:t xml:space="preserve">There are limited data from the use of </w:t>
      </w:r>
      <w:r w:rsidRPr="000143A5">
        <w:rPr>
          <w:rFonts w:asciiTheme="minorHAnsi" w:hAnsiTheme="minorHAnsi" w:cstheme="minorHAnsi"/>
          <w:b/>
          <w:sz w:val="22"/>
          <w:szCs w:val="22"/>
        </w:rPr>
        <w:t>remdesivir</w:t>
      </w:r>
      <w:r w:rsidRPr="000143A5">
        <w:rPr>
          <w:rFonts w:asciiTheme="minorHAnsi" w:hAnsiTheme="minorHAnsi" w:cstheme="minorHAnsi"/>
          <w:sz w:val="22"/>
          <w:szCs w:val="22"/>
        </w:rPr>
        <w:t xml:space="preserve"> in pregnant women. Remdesivir should be avoided in pregnancy unless clinicians believe the benefits of treatment outweigh the risks to the individual (please see SmPC for further information).</w:t>
      </w:r>
    </w:p>
    <w:p w14:paraId="291D7283" w14:textId="12BB8107" w:rsidR="00256BC2" w:rsidRPr="000143A5" w:rsidRDefault="009D22F0" w:rsidP="00531188">
      <w:pPr>
        <w:pStyle w:val="NormalWeb"/>
        <w:rPr>
          <w:rFonts w:asciiTheme="minorHAnsi" w:hAnsiTheme="minorHAnsi" w:cstheme="minorHAnsi"/>
          <w:sz w:val="22"/>
          <w:szCs w:val="22"/>
        </w:rPr>
      </w:pPr>
      <w:r w:rsidRPr="000143A5">
        <w:rPr>
          <w:rFonts w:asciiTheme="minorHAnsi" w:hAnsiTheme="minorHAnsi" w:cstheme="minorHAnsi"/>
          <w:sz w:val="22"/>
          <w:szCs w:val="22"/>
        </w:rPr>
        <w:t xml:space="preserve">There is no data from the use of </w:t>
      </w:r>
      <w:r w:rsidRPr="000143A5">
        <w:rPr>
          <w:rFonts w:asciiTheme="minorHAnsi" w:hAnsiTheme="minorHAnsi" w:cstheme="minorHAnsi"/>
          <w:b/>
          <w:sz w:val="22"/>
          <w:szCs w:val="22"/>
        </w:rPr>
        <w:t>sotrovimab</w:t>
      </w:r>
      <w:r w:rsidRPr="000143A5">
        <w:rPr>
          <w:rFonts w:asciiTheme="minorHAnsi" w:hAnsiTheme="minorHAnsi" w:cstheme="minorHAnsi"/>
          <w:sz w:val="22"/>
          <w:szCs w:val="22"/>
        </w:rPr>
        <w:t xml:space="preserve"> in pregnant women. Sotrovimab may be used during pregnancy where the expected benefit to the mother justifies the risk to the foetus.</w:t>
      </w:r>
    </w:p>
    <w:p w14:paraId="6A328C4D" w14:textId="77777777" w:rsidR="000143A5" w:rsidRDefault="000143A5" w:rsidP="006B3CF8">
      <w:pPr>
        <w:spacing w:before="120"/>
        <w:rPr>
          <w:rFonts w:asciiTheme="minorHAnsi" w:hAnsiTheme="minorHAnsi" w:cstheme="minorHAnsi"/>
          <w:b/>
          <w:bCs/>
          <w:iCs/>
          <w:sz w:val="22"/>
          <w:szCs w:val="22"/>
        </w:rPr>
      </w:pPr>
    </w:p>
    <w:p w14:paraId="63671EB4" w14:textId="2BE779A5" w:rsidR="00711EE4" w:rsidRPr="000143A5" w:rsidRDefault="00242CF7" w:rsidP="006B3CF8">
      <w:pPr>
        <w:spacing w:before="120"/>
        <w:rPr>
          <w:rFonts w:asciiTheme="minorHAnsi" w:hAnsiTheme="minorHAnsi" w:cstheme="minorHAnsi"/>
          <w:b/>
          <w:bCs/>
          <w:iCs/>
          <w:sz w:val="22"/>
          <w:szCs w:val="22"/>
        </w:rPr>
      </w:pPr>
      <w:r w:rsidRPr="000143A5">
        <w:rPr>
          <w:rFonts w:asciiTheme="minorHAnsi" w:hAnsiTheme="minorHAnsi" w:cstheme="minorHAnsi"/>
          <w:b/>
          <w:bCs/>
          <w:iCs/>
          <w:sz w:val="22"/>
          <w:szCs w:val="22"/>
        </w:rPr>
        <w:t>Breastfeeding</w:t>
      </w:r>
    </w:p>
    <w:p w14:paraId="0611C1AA" w14:textId="77777777" w:rsidR="00711EE4" w:rsidRPr="000143A5" w:rsidRDefault="00711EE4" w:rsidP="00711EE4">
      <w:pPr>
        <w:spacing w:before="120"/>
        <w:rPr>
          <w:rFonts w:asciiTheme="minorHAnsi" w:hAnsiTheme="minorHAnsi" w:cstheme="minorHAnsi"/>
          <w:sz w:val="22"/>
          <w:szCs w:val="22"/>
        </w:rPr>
      </w:pPr>
      <w:r w:rsidRPr="000143A5">
        <w:rPr>
          <w:rFonts w:asciiTheme="minorHAnsi" w:hAnsiTheme="minorHAnsi" w:cstheme="minorHAnsi"/>
          <w:sz w:val="22"/>
          <w:szCs w:val="22"/>
        </w:rPr>
        <w:t xml:space="preserve">There are no human data on the use of </w:t>
      </w:r>
      <w:r w:rsidRPr="000143A5">
        <w:rPr>
          <w:rFonts w:asciiTheme="minorHAnsi" w:hAnsiTheme="minorHAnsi" w:cstheme="minorHAnsi"/>
          <w:b/>
          <w:sz w:val="22"/>
          <w:szCs w:val="22"/>
        </w:rPr>
        <w:t>PF-07321332 (nirmatrelvir) plus ritonavir (Paxlovid</w:t>
      </w:r>
      <w:r w:rsidRPr="000143A5">
        <w:rPr>
          <w:rStyle w:val="markedcontent"/>
          <w:rFonts w:asciiTheme="minorHAnsi" w:hAnsiTheme="minorHAnsi" w:cstheme="minorHAnsi"/>
          <w:b/>
          <w:sz w:val="22"/>
          <w:szCs w:val="22"/>
        </w:rPr>
        <w:t>®</w:t>
      </w:r>
      <w:r w:rsidRPr="000143A5">
        <w:rPr>
          <w:rFonts w:asciiTheme="minorHAnsi" w:hAnsiTheme="minorHAnsi" w:cstheme="minorHAnsi"/>
          <w:b/>
          <w:sz w:val="22"/>
          <w:szCs w:val="22"/>
        </w:rPr>
        <w:t>)</w:t>
      </w:r>
      <w:r w:rsidRPr="000143A5">
        <w:rPr>
          <w:rFonts w:asciiTheme="minorHAnsi" w:hAnsiTheme="minorHAnsi" w:cstheme="minorHAnsi"/>
          <w:sz w:val="22"/>
          <w:szCs w:val="22"/>
        </w:rPr>
        <w:t xml:space="preserve"> in breastfeeding. It is unknown whether PF-07321332 (nirmatrelvir) is excreted in human or animal milk, and the effects of it on the breast fed newborn/infant, or the effects on milk production. Limited published data reports that ritonavir is present in human milk. There is no information on the effects of ritonavir on the breast-fed newborn/infant or the effects of the medicinal product on milk production. A risk to the newborn/infant cannot be excluded. Breast feeding should be discontinued during treatment with Paxlovid and for 7 days after the last dose of Paxlovid.</w:t>
      </w:r>
    </w:p>
    <w:p w14:paraId="723F3F84" w14:textId="77777777" w:rsidR="00711EE4" w:rsidRPr="000143A5" w:rsidRDefault="00711EE4" w:rsidP="006B3CF8">
      <w:pPr>
        <w:spacing w:before="120"/>
        <w:rPr>
          <w:rFonts w:asciiTheme="minorHAnsi" w:hAnsiTheme="minorHAnsi" w:cstheme="minorHAnsi"/>
          <w:sz w:val="22"/>
          <w:szCs w:val="22"/>
        </w:rPr>
      </w:pPr>
    </w:p>
    <w:p w14:paraId="7F74A3F5" w14:textId="77777777" w:rsidR="00496827" w:rsidRPr="000143A5" w:rsidRDefault="00496827" w:rsidP="00496827">
      <w:pPr>
        <w:rPr>
          <w:rFonts w:asciiTheme="minorHAnsi" w:hAnsiTheme="minorHAnsi" w:cstheme="minorHAnsi"/>
          <w:sz w:val="22"/>
          <w:szCs w:val="22"/>
        </w:rPr>
      </w:pPr>
      <w:r w:rsidRPr="000143A5">
        <w:rPr>
          <w:rFonts w:asciiTheme="minorHAnsi" w:hAnsiTheme="minorHAnsi" w:cstheme="minorHAnsi"/>
          <w:sz w:val="22"/>
          <w:szCs w:val="22"/>
        </w:rPr>
        <w:t xml:space="preserve">It is unknown whether </w:t>
      </w:r>
      <w:r w:rsidRPr="000143A5">
        <w:rPr>
          <w:rFonts w:asciiTheme="minorHAnsi" w:hAnsiTheme="minorHAnsi" w:cstheme="minorHAnsi"/>
          <w:b/>
          <w:sz w:val="22"/>
          <w:szCs w:val="22"/>
        </w:rPr>
        <w:t>remdesivir</w:t>
      </w:r>
      <w:r w:rsidRPr="000143A5">
        <w:rPr>
          <w:rFonts w:asciiTheme="minorHAnsi" w:hAnsiTheme="minorHAnsi" w:cstheme="minorHAnsi"/>
          <w:sz w:val="22"/>
          <w:szCs w:val="22"/>
        </w:rPr>
        <w:t xml:space="preserve"> is excreted in human milk or the effects on the breast-fed infant, or the effects on milk production. In animal studies, the nucleoside analog metabolite GS-441524 has been detected in the blood of nursing rat pups of mothers given remdesivir. Therefore, excretion of remdesivir and/or metabolites into the milk of lactating animals can be assumed. Because of the potential for viral transmission to SARS-CoV-2-negative infants and adverse reactions from the drug in breast-feeding infants, a decision must be made whether to discontinue breast-feeding or to discontinue/abstain from remdesivir therapy taking into account the benefit of breast-feeding for the child and the benefit of therapy for the woman.</w:t>
      </w:r>
    </w:p>
    <w:p w14:paraId="38C2FBB2" w14:textId="77777777" w:rsidR="00EC15B3" w:rsidRPr="000143A5" w:rsidRDefault="00711EE4" w:rsidP="00711EE4">
      <w:pPr>
        <w:pStyle w:val="NormalWeb"/>
        <w:rPr>
          <w:rFonts w:asciiTheme="minorHAnsi" w:hAnsiTheme="minorHAnsi" w:cstheme="minorHAnsi"/>
          <w:sz w:val="22"/>
          <w:szCs w:val="22"/>
        </w:rPr>
      </w:pPr>
      <w:r w:rsidRPr="000143A5">
        <w:rPr>
          <w:rFonts w:asciiTheme="minorHAnsi" w:hAnsiTheme="minorHAnsi" w:cstheme="minorHAnsi"/>
          <w:sz w:val="22"/>
          <w:szCs w:val="22"/>
        </w:rPr>
        <w:t xml:space="preserve">There are no data on the excretion of </w:t>
      </w:r>
      <w:r w:rsidRPr="000143A5">
        <w:rPr>
          <w:rFonts w:asciiTheme="minorHAnsi" w:hAnsiTheme="minorHAnsi" w:cstheme="minorHAnsi"/>
          <w:b/>
          <w:sz w:val="22"/>
          <w:szCs w:val="22"/>
        </w:rPr>
        <w:t>sotrovimab</w:t>
      </w:r>
      <w:r w:rsidRPr="000143A5">
        <w:rPr>
          <w:rFonts w:asciiTheme="minorHAnsi" w:hAnsiTheme="minorHAnsi" w:cstheme="minorHAnsi"/>
          <w:sz w:val="22"/>
          <w:szCs w:val="22"/>
        </w:rPr>
        <w:t xml:space="preserve"> in human milk. The potential treatment benefit or risk to the newborn or infants via breastfeeding is not known. Decisions on whether to breastfeed during treatment or to abstain from sotrovimab therapy should take into account the benefit of breast-feeding for the child and the benefit of therapy for the woman.</w:t>
      </w:r>
    </w:p>
    <w:p w14:paraId="2B3EA1B9" w14:textId="6C4893E9" w:rsidR="00711EE4" w:rsidRDefault="00711EE4" w:rsidP="006B3CF8">
      <w:pPr>
        <w:spacing w:before="120"/>
        <w:rPr>
          <w:rFonts w:asciiTheme="minorHAnsi" w:hAnsiTheme="minorHAnsi" w:cstheme="minorHAnsi"/>
          <w:b/>
          <w:sz w:val="22"/>
          <w:szCs w:val="22"/>
        </w:rPr>
      </w:pPr>
    </w:p>
    <w:p w14:paraId="375F4602" w14:textId="0C544C65" w:rsidR="000143A5" w:rsidRDefault="000143A5" w:rsidP="006B3CF8">
      <w:pPr>
        <w:spacing w:before="120"/>
        <w:rPr>
          <w:rFonts w:asciiTheme="minorHAnsi" w:hAnsiTheme="minorHAnsi" w:cstheme="minorHAnsi"/>
          <w:b/>
          <w:sz w:val="22"/>
          <w:szCs w:val="22"/>
        </w:rPr>
      </w:pPr>
    </w:p>
    <w:p w14:paraId="1903674E" w14:textId="77777777" w:rsidR="000143A5" w:rsidRPr="000143A5" w:rsidRDefault="000143A5" w:rsidP="006B3CF8">
      <w:pPr>
        <w:spacing w:before="120"/>
        <w:rPr>
          <w:rFonts w:asciiTheme="minorHAnsi" w:hAnsiTheme="minorHAnsi" w:cstheme="minorHAnsi"/>
          <w:b/>
          <w:sz w:val="22"/>
          <w:szCs w:val="22"/>
        </w:rPr>
      </w:pPr>
    </w:p>
    <w:p w14:paraId="1CCF09AE" w14:textId="77777777" w:rsidR="007211B5" w:rsidRPr="000143A5" w:rsidRDefault="007211B5" w:rsidP="006B3CF8">
      <w:pPr>
        <w:spacing w:before="120"/>
        <w:rPr>
          <w:rFonts w:asciiTheme="minorHAnsi" w:hAnsiTheme="minorHAnsi" w:cstheme="minorHAnsi"/>
          <w:b/>
          <w:sz w:val="22"/>
          <w:szCs w:val="22"/>
          <w:u w:val="single"/>
        </w:rPr>
      </w:pPr>
      <w:r w:rsidRPr="000143A5">
        <w:rPr>
          <w:rFonts w:asciiTheme="minorHAnsi" w:hAnsiTheme="minorHAnsi" w:cstheme="minorHAnsi"/>
          <w:b/>
          <w:sz w:val="22"/>
          <w:szCs w:val="22"/>
          <w:u w:val="single"/>
        </w:rPr>
        <w:lastRenderedPageBreak/>
        <w:t>Approval &amp; Governance</w:t>
      </w:r>
    </w:p>
    <w:p w14:paraId="4DB31906" w14:textId="55B67F7B" w:rsidR="007211B5" w:rsidRPr="000143A5" w:rsidRDefault="00AC3DE7" w:rsidP="006B3CF8">
      <w:pPr>
        <w:spacing w:before="120"/>
        <w:rPr>
          <w:rFonts w:asciiTheme="minorHAnsi" w:hAnsiTheme="minorHAnsi" w:cstheme="minorHAnsi"/>
          <w:sz w:val="22"/>
          <w:szCs w:val="22"/>
        </w:rPr>
      </w:pPr>
      <w:r w:rsidRPr="000143A5">
        <w:rPr>
          <w:rFonts w:asciiTheme="minorHAnsi" w:hAnsiTheme="minorHAnsi" w:cstheme="minorHAnsi"/>
          <w:sz w:val="22"/>
          <w:szCs w:val="22"/>
        </w:rPr>
        <w:t>A decision to prescribe</w:t>
      </w:r>
      <w:r w:rsidR="00E952A1" w:rsidRPr="000143A5">
        <w:rPr>
          <w:rStyle w:val="markedcontent"/>
          <w:rFonts w:asciiTheme="minorHAnsi" w:hAnsiTheme="minorHAnsi" w:cstheme="minorHAnsi"/>
          <w:sz w:val="22"/>
          <w:szCs w:val="22"/>
        </w:rPr>
        <w:t xml:space="preserve"> PF-07321332 (nirmatrelvir) plus ritonavir (Paxlovid®), remdesivir or sotrovimab</w:t>
      </w:r>
      <w:r w:rsidR="00E952A1" w:rsidRPr="000143A5">
        <w:rPr>
          <w:rFonts w:asciiTheme="minorHAnsi" w:hAnsiTheme="minorHAnsi" w:cstheme="minorHAnsi"/>
          <w:sz w:val="22"/>
          <w:szCs w:val="22"/>
        </w:rPr>
        <w:t xml:space="preserve"> </w:t>
      </w:r>
      <w:r w:rsidR="007211B5" w:rsidRPr="000143A5">
        <w:rPr>
          <w:rFonts w:asciiTheme="minorHAnsi" w:hAnsiTheme="minorHAnsi" w:cstheme="minorHAnsi"/>
          <w:sz w:val="22"/>
          <w:szCs w:val="22"/>
        </w:rPr>
        <w:t xml:space="preserve">must be made by a </w:t>
      </w:r>
      <w:r w:rsidR="007211B5" w:rsidRPr="000143A5">
        <w:rPr>
          <w:rFonts w:asciiTheme="minorHAnsi" w:hAnsiTheme="minorHAnsi" w:cstheme="minorHAnsi"/>
          <w:b/>
          <w:bCs/>
          <w:sz w:val="22"/>
          <w:szCs w:val="22"/>
          <w:u w:val="single"/>
        </w:rPr>
        <w:t xml:space="preserve">multi-disciplinary team </w:t>
      </w:r>
      <w:r w:rsidR="00884861" w:rsidRPr="000143A5">
        <w:rPr>
          <w:rFonts w:asciiTheme="minorHAnsi" w:hAnsiTheme="minorHAnsi" w:cstheme="minorHAnsi"/>
          <w:b/>
          <w:bCs/>
          <w:sz w:val="22"/>
          <w:szCs w:val="22"/>
          <w:u w:val="single"/>
        </w:rPr>
        <w:t>(MDT)</w:t>
      </w:r>
      <w:r w:rsidR="00884861" w:rsidRPr="000143A5">
        <w:rPr>
          <w:rFonts w:asciiTheme="minorHAnsi" w:hAnsiTheme="minorHAnsi" w:cstheme="minorHAnsi"/>
          <w:sz w:val="22"/>
          <w:szCs w:val="22"/>
        </w:rPr>
        <w:t xml:space="preserve"> </w:t>
      </w:r>
      <w:r w:rsidR="007211B5" w:rsidRPr="000143A5">
        <w:rPr>
          <w:rFonts w:asciiTheme="minorHAnsi" w:hAnsiTheme="minorHAnsi" w:cstheme="minorHAnsi"/>
          <w:sz w:val="22"/>
          <w:szCs w:val="22"/>
        </w:rPr>
        <w:t>consisting of:</w:t>
      </w:r>
    </w:p>
    <w:p w14:paraId="6AD3D996" w14:textId="77777777" w:rsidR="00332C22" w:rsidRPr="000143A5" w:rsidRDefault="007211B5" w:rsidP="00332C22">
      <w:pPr>
        <w:pStyle w:val="ListParagraph"/>
        <w:numPr>
          <w:ilvl w:val="0"/>
          <w:numId w:val="16"/>
        </w:numPr>
        <w:rPr>
          <w:rFonts w:cstheme="minorHAnsi"/>
        </w:rPr>
      </w:pPr>
      <w:r w:rsidRPr="000143A5">
        <w:rPr>
          <w:rFonts w:cstheme="minorHAnsi"/>
        </w:rPr>
        <w:t>The consultant who has responsibility for the patient’s care</w:t>
      </w:r>
    </w:p>
    <w:p w14:paraId="5C4F4A99" w14:textId="77777777" w:rsidR="00332C22" w:rsidRPr="000143A5" w:rsidRDefault="00E952A1" w:rsidP="00332C22">
      <w:pPr>
        <w:pStyle w:val="ListParagraph"/>
        <w:numPr>
          <w:ilvl w:val="0"/>
          <w:numId w:val="16"/>
        </w:numPr>
        <w:rPr>
          <w:rFonts w:cstheme="minorHAnsi"/>
        </w:rPr>
      </w:pPr>
      <w:r w:rsidRPr="000143A5">
        <w:rPr>
          <w:rFonts w:cstheme="minorHAnsi"/>
        </w:rPr>
        <w:t>Infection specialist</w:t>
      </w:r>
    </w:p>
    <w:p w14:paraId="68EDBA34" w14:textId="77777777" w:rsidR="00332C22" w:rsidRPr="000143A5" w:rsidRDefault="00884861" w:rsidP="00332C22">
      <w:pPr>
        <w:pStyle w:val="ListParagraph"/>
        <w:numPr>
          <w:ilvl w:val="1"/>
          <w:numId w:val="18"/>
        </w:numPr>
        <w:rPr>
          <w:rFonts w:cstheme="minorHAnsi"/>
        </w:rPr>
      </w:pPr>
      <w:r w:rsidRPr="000143A5">
        <w:rPr>
          <w:rFonts w:cstheme="minorHAnsi"/>
        </w:rPr>
        <w:t>RSCH</w:t>
      </w:r>
      <w:r w:rsidR="007211B5" w:rsidRPr="000143A5">
        <w:rPr>
          <w:rFonts w:cstheme="minorHAnsi"/>
        </w:rPr>
        <w:t>/</w:t>
      </w:r>
      <w:r w:rsidRPr="000143A5">
        <w:rPr>
          <w:rFonts w:cstheme="minorHAnsi"/>
        </w:rPr>
        <w:t>PRH</w:t>
      </w:r>
      <w:r w:rsidR="007211B5" w:rsidRPr="000143A5">
        <w:rPr>
          <w:rFonts w:cstheme="minorHAnsi"/>
        </w:rPr>
        <w:t>: ext. 65207 during working hours (or out of hours on-call consultant via switchboard)</w:t>
      </w:r>
    </w:p>
    <w:p w14:paraId="030D48F1" w14:textId="77777777" w:rsidR="00332C22" w:rsidRPr="000143A5" w:rsidRDefault="007211B5" w:rsidP="00332C22">
      <w:pPr>
        <w:pStyle w:val="ListParagraph"/>
        <w:numPr>
          <w:ilvl w:val="1"/>
          <w:numId w:val="18"/>
        </w:numPr>
        <w:rPr>
          <w:rFonts w:cstheme="minorHAnsi"/>
        </w:rPr>
      </w:pPr>
      <w:r w:rsidRPr="000143A5">
        <w:rPr>
          <w:rFonts w:cstheme="minorHAnsi"/>
        </w:rPr>
        <w:t>Worthing: ext. 85398 during working hours (or out of hours on-call microbiologist via switchboard)</w:t>
      </w:r>
    </w:p>
    <w:p w14:paraId="2FB3F62E" w14:textId="77777777" w:rsidR="007211B5" w:rsidRPr="000143A5" w:rsidRDefault="00134BB4" w:rsidP="00332C22">
      <w:pPr>
        <w:pStyle w:val="ListParagraph"/>
        <w:numPr>
          <w:ilvl w:val="1"/>
          <w:numId w:val="18"/>
        </w:numPr>
        <w:rPr>
          <w:rFonts w:cstheme="minorHAnsi"/>
        </w:rPr>
      </w:pPr>
      <w:r w:rsidRPr="000143A5">
        <w:rPr>
          <w:rFonts w:cstheme="minorHAnsi"/>
        </w:rPr>
        <w:t>SRH</w:t>
      </w:r>
      <w:r w:rsidR="007211B5" w:rsidRPr="000143A5">
        <w:rPr>
          <w:rFonts w:cstheme="minorHAnsi"/>
        </w:rPr>
        <w:t>: ext. 33547 during working hours (or out of hours on-call microbiologist via switchboard)</w:t>
      </w:r>
    </w:p>
    <w:p w14:paraId="25F81822" w14:textId="77777777" w:rsidR="00332C22" w:rsidRPr="000143A5" w:rsidRDefault="00E952A1" w:rsidP="00332C22">
      <w:pPr>
        <w:pStyle w:val="ListParagraph"/>
        <w:numPr>
          <w:ilvl w:val="0"/>
          <w:numId w:val="16"/>
        </w:numPr>
        <w:rPr>
          <w:rFonts w:cstheme="minorHAnsi"/>
        </w:rPr>
      </w:pPr>
      <w:r w:rsidRPr="000143A5">
        <w:rPr>
          <w:rFonts w:cstheme="minorHAnsi"/>
        </w:rPr>
        <w:t>Pharmacy</w:t>
      </w:r>
    </w:p>
    <w:p w14:paraId="39C29D87" w14:textId="77777777" w:rsidR="00332C22" w:rsidRPr="000143A5" w:rsidRDefault="00884861" w:rsidP="00332C22">
      <w:pPr>
        <w:pStyle w:val="ListParagraph"/>
        <w:numPr>
          <w:ilvl w:val="1"/>
          <w:numId w:val="17"/>
        </w:numPr>
        <w:rPr>
          <w:rFonts w:cstheme="minorHAnsi"/>
        </w:rPr>
      </w:pPr>
      <w:r w:rsidRPr="000143A5">
        <w:rPr>
          <w:rFonts w:cstheme="minorHAnsi"/>
        </w:rPr>
        <w:t>RSCH/PRH</w:t>
      </w:r>
      <w:r w:rsidR="007211B5" w:rsidRPr="000143A5">
        <w:rPr>
          <w:rFonts w:cstheme="minorHAnsi"/>
        </w:rPr>
        <w:t xml:space="preserve">: infection/critical care specialist </w:t>
      </w:r>
      <w:r w:rsidR="007D4B14" w:rsidRPr="000143A5">
        <w:rPr>
          <w:rFonts w:cstheme="minorHAnsi"/>
        </w:rPr>
        <w:t>pharmacist via</w:t>
      </w:r>
      <w:r w:rsidR="002A29B1" w:rsidRPr="000143A5">
        <w:rPr>
          <w:rFonts w:cstheme="minorHAnsi"/>
        </w:rPr>
        <w:t xml:space="preserve"> their bleep during working hours (or out of hours and weekends on-call pharmacist via switchboard)</w:t>
      </w:r>
    </w:p>
    <w:p w14:paraId="7A222153" w14:textId="77777777" w:rsidR="002A29B1" w:rsidRPr="000143A5" w:rsidRDefault="007211B5" w:rsidP="00332C22">
      <w:pPr>
        <w:pStyle w:val="ListParagraph"/>
        <w:numPr>
          <w:ilvl w:val="1"/>
          <w:numId w:val="17"/>
        </w:numPr>
        <w:rPr>
          <w:rFonts w:cstheme="minorHAnsi"/>
        </w:rPr>
      </w:pPr>
      <w:r w:rsidRPr="000143A5">
        <w:rPr>
          <w:rFonts w:cstheme="minorHAnsi"/>
        </w:rPr>
        <w:t>Worthing/SRH: ward pharmacist via their bleep (or on-call pharmacist at weekends after 2pm via switchboard)</w:t>
      </w:r>
    </w:p>
    <w:p w14:paraId="312CCA58" w14:textId="1FFED99D" w:rsidR="00E405A5" w:rsidRPr="000143A5" w:rsidRDefault="009A280F" w:rsidP="006B3CF8">
      <w:pPr>
        <w:tabs>
          <w:tab w:val="left" w:pos="1080"/>
        </w:tabs>
        <w:spacing w:before="120"/>
        <w:rPr>
          <w:rStyle w:val="markedcontent"/>
          <w:rFonts w:asciiTheme="minorHAnsi" w:hAnsiTheme="minorHAnsi" w:cstheme="minorHAnsi"/>
          <w:sz w:val="22"/>
          <w:szCs w:val="22"/>
        </w:rPr>
      </w:pPr>
      <w:r w:rsidRPr="000143A5">
        <w:rPr>
          <w:rStyle w:val="markedcontent"/>
          <w:rFonts w:asciiTheme="minorHAnsi" w:hAnsiTheme="minorHAnsi" w:cstheme="minorHAnsi"/>
          <w:sz w:val="22"/>
          <w:szCs w:val="22"/>
        </w:rPr>
        <w:t>For patients in ITU,</w:t>
      </w:r>
      <w:r w:rsidR="00E952A1" w:rsidRPr="000143A5">
        <w:rPr>
          <w:rStyle w:val="markedcontent"/>
          <w:rFonts w:asciiTheme="minorHAnsi" w:hAnsiTheme="minorHAnsi" w:cstheme="minorHAnsi"/>
          <w:sz w:val="22"/>
          <w:szCs w:val="22"/>
        </w:rPr>
        <w:t xml:space="preserve"> PF-07321332 (nirmatrelvir) plus ritonavir (Paxlovid®), remdesivir and sotrovimab</w:t>
      </w:r>
      <w:r w:rsidR="00E952A1" w:rsidRPr="000143A5">
        <w:rPr>
          <w:rFonts w:asciiTheme="minorHAnsi" w:hAnsiTheme="minorHAnsi" w:cstheme="minorHAnsi"/>
          <w:sz w:val="22"/>
          <w:szCs w:val="22"/>
        </w:rPr>
        <w:t xml:space="preserve"> </w:t>
      </w:r>
      <w:r w:rsidR="00200223" w:rsidRPr="000143A5">
        <w:rPr>
          <w:rStyle w:val="markedcontent"/>
          <w:rFonts w:asciiTheme="minorHAnsi" w:hAnsiTheme="minorHAnsi" w:cstheme="minorHAnsi"/>
          <w:sz w:val="22"/>
          <w:szCs w:val="22"/>
        </w:rPr>
        <w:t xml:space="preserve">will be available at all times. </w:t>
      </w:r>
    </w:p>
    <w:p w14:paraId="1E5B5555" w14:textId="77777777" w:rsidR="00361701" w:rsidRPr="000143A5" w:rsidRDefault="00200223" w:rsidP="006B3CF8">
      <w:pPr>
        <w:tabs>
          <w:tab w:val="left" w:pos="1080"/>
        </w:tabs>
        <w:spacing w:before="120"/>
        <w:rPr>
          <w:rFonts w:asciiTheme="minorHAnsi" w:hAnsiTheme="minorHAnsi" w:cstheme="minorHAnsi"/>
          <w:sz w:val="22"/>
          <w:szCs w:val="22"/>
        </w:rPr>
      </w:pPr>
      <w:r w:rsidRPr="000143A5">
        <w:rPr>
          <w:rStyle w:val="markedcontent"/>
          <w:rFonts w:asciiTheme="minorHAnsi" w:hAnsiTheme="minorHAnsi" w:cstheme="minorHAnsi"/>
          <w:sz w:val="22"/>
          <w:szCs w:val="22"/>
        </w:rPr>
        <w:t xml:space="preserve">For patients who have hospital onset </w:t>
      </w:r>
      <w:r w:rsidR="00EC15B3" w:rsidRPr="000143A5">
        <w:rPr>
          <w:rStyle w:val="markedcontent"/>
          <w:rFonts w:asciiTheme="minorHAnsi" w:hAnsiTheme="minorHAnsi" w:cstheme="minorHAnsi"/>
          <w:sz w:val="22"/>
          <w:szCs w:val="22"/>
        </w:rPr>
        <w:t>COVID</w:t>
      </w:r>
      <w:r w:rsidRPr="000143A5">
        <w:rPr>
          <w:rStyle w:val="markedcontent"/>
          <w:rFonts w:asciiTheme="minorHAnsi" w:hAnsiTheme="minorHAnsi" w:cstheme="minorHAnsi"/>
          <w:sz w:val="22"/>
          <w:szCs w:val="22"/>
        </w:rPr>
        <w:t xml:space="preserve">-19 </w:t>
      </w:r>
      <w:r w:rsidR="00E952A1" w:rsidRPr="000143A5">
        <w:rPr>
          <w:rStyle w:val="markedcontent"/>
          <w:rFonts w:asciiTheme="minorHAnsi" w:hAnsiTheme="minorHAnsi" w:cstheme="minorHAnsi"/>
          <w:sz w:val="22"/>
          <w:szCs w:val="22"/>
        </w:rPr>
        <w:t>or have mild disease</w:t>
      </w:r>
      <w:r w:rsidRPr="000143A5">
        <w:rPr>
          <w:rStyle w:val="markedcontent"/>
          <w:rFonts w:asciiTheme="minorHAnsi" w:hAnsiTheme="minorHAnsi" w:cstheme="minorHAnsi"/>
          <w:sz w:val="22"/>
          <w:szCs w:val="22"/>
        </w:rPr>
        <w:t xml:space="preserve"> </w:t>
      </w:r>
      <w:r w:rsidR="00332C22" w:rsidRPr="000143A5">
        <w:rPr>
          <w:rStyle w:val="markedcontent"/>
          <w:rFonts w:asciiTheme="minorHAnsi" w:hAnsiTheme="minorHAnsi" w:cstheme="minorHAnsi"/>
          <w:sz w:val="22"/>
          <w:szCs w:val="22"/>
        </w:rPr>
        <w:t>(</w:t>
      </w:r>
      <w:r w:rsidR="00332C22" w:rsidRPr="000143A5">
        <w:rPr>
          <w:rStyle w:val="markedcontent"/>
          <w:rFonts w:asciiTheme="minorHAnsi" w:hAnsiTheme="minorHAnsi" w:cstheme="minorHAnsi"/>
          <w:sz w:val="22"/>
          <w:szCs w:val="22"/>
          <w:u w:val="single"/>
        </w:rPr>
        <w:t>Group 2</w:t>
      </w:r>
      <w:r w:rsidR="00332C22" w:rsidRPr="000143A5">
        <w:rPr>
          <w:rStyle w:val="markedcontent"/>
          <w:rFonts w:asciiTheme="minorHAnsi" w:hAnsiTheme="minorHAnsi" w:cstheme="minorHAnsi"/>
          <w:sz w:val="22"/>
          <w:szCs w:val="22"/>
        </w:rPr>
        <w:t xml:space="preserve">) </w:t>
      </w:r>
      <w:r w:rsidRPr="000143A5">
        <w:rPr>
          <w:rStyle w:val="markedcontent"/>
          <w:rFonts w:asciiTheme="minorHAnsi" w:hAnsiTheme="minorHAnsi" w:cstheme="minorHAnsi"/>
          <w:sz w:val="22"/>
          <w:szCs w:val="22"/>
        </w:rPr>
        <w:t xml:space="preserve">and eligible for </w:t>
      </w:r>
      <w:r w:rsidR="00E952A1" w:rsidRPr="000143A5">
        <w:rPr>
          <w:rStyle w:val="markedcontent"/>
          <w:rFonts w:asciiTheme="minorHAnsi" w:hAnsiTheme="minorHAnsi" w:cstheme="minorHAnsi"/>
          <w:sz w:val="22"/>
          <w:szCs w:val="22"/>
        </w:rPr>
        <w:t>PF-07321332 (nirmatrelvir) plus ritonavir (Paxlovid®), remdesivir or sotrovimab</w:t>
      </w:r>
      <w:r w:rsidRPr="000143A5">
        <w:rPr>
          <w:rStyle w:val="markedcontent"/>
          <w:rFonts w:asciiTheme="minorHAnsi" w:hAnsiTheme="minorHAnsi" w:cstheme="minorHAnsi"/>
          <w:sz w:val="22"/>
          <w:szCs w:val="22"/>
        </w:rPr>
        <w:t>, this will be available during normal working ho</w:t>
      </w:r>
      <w:r w:rsidR="00E952A1" w:rsidRPr="000143A5">
        <w:rPr>
          <w:rStyle w:val="markedcontent"/>
          <w:rFonts w:asciiTheme="minorHAnsi" w:hAnsiTheme="minorHAnsi" w:cstheme="minorHAnsi"/>
          <w:sz w:val="22"/>
          <w:szCs w:val="22"/>
        </w:rPr>
        <w:t>urs of 9.00am to 6.00pm. Spike a</w:t>
      </w:r>
      <w:r w:rsidRPr="000143A5">
        <w:rPr>
          <w:rStyle w:val="markedcontent"/>
          <w:rFonts w:asciiTheme="minorHAnsi" w:hAnsiTheme="minorHAnsi" w:cstheme="minorHAnsi"/>
          <w:sz w:val="22"/>
          <w:szCs w:val="22"/>
        </w:rPr>
        <w:t xml:space="preserve">ntibody tests should be conducted promptly on these patients before administering. </w:t>
      </w:r>
      <w:r w:rsidR="00E952A1" w:rsidRPr="000143A5">
        <w:rPr>
          <w:rStyle w:val="markedcontent"/>
          <w:rFonts w:asciiTheme="minorHAnsi" w:hAnsiTheme="minorHAnsi" w:cstheme="minorHAnsi"/>
          <w:sz w:val="22"/>
          <w:szCs w:val="22"/>
        </w:rPr>
        <w:t>S</w:t>
      </w:r>
      <w:r w:rsidR="00DE26AE" w:rsidRPr="000143A5">
        <w:rPr>
          <w:rStyle w:val="markedcontent"/>
          <w:rFonts w:asciiTheme="minorHAnsi" w:hAnsiTheme="minorHAnsi" w:cstheme="minorHAnsi"/>
          <w:sz w:val="22"/>
          <w:szCs w:val="22"/>
        </w:rPr>
        <w:t xml:space="preserve">otrovimab </w:t>
      </w:r>
      <w:r w:rsidR="00E952A1" w:rsidRPr="000143A5">
        <w:rPr>
          <w:rStyle w:val="markedcontent"/>
          <w:rFonts w:asciiTheme="minorHAnsi" w:hAnsiTheme="minorHAnsi" w:cstheme="minorHAnsi"/>
          <w:sz w:val="22"/>
          <w:szCs w:val="22"/>
        </w:rPr>
        <w:t>may</w:t>
      </w:r>
      <w:r w:rsidRPr="000143A5">
        <w:rPr>
          <w:rStyle w:val="markedcontent"/>
          <w:rFonts w:asciiTheme="minorHAnsi" w:hAnsiTheme="minorHAnsi" w:cstheme="minorHAnsi"/>
          <w:sz w:val="22"/>
          <w:szCs w:val="22"/>
        </w:rPr>
        <w:t xml:space="preserve"> be given </w:t>
      </w:r>
      <w:r w:rsidR="00E952A1" w:rsidRPr="000143A5">
        <w:rPr>
          <w:rStyle w:val="markedcontent"/>
          <w:rFonts w:asciiTheme="minorHAnsi" w:hAnsiTheme="minorHAnsi" w:cstheme="minorHAnsi"/>
          <w:sz w:val="22"/>
          <w:szCs w:val="22"/>
        </w:rPr>
        <w:t>before the results are reported.</w:t>
      </w:r>
    </w:p>
    <w:p w14:paraId="30E55CAC" w14:textId="77777777" w:rsidR="00E952A1" w:rsidRPr="000143A5" w:rsidRDefault="00E952A1" w:rsidP="006B3CF8">
      <w:pPr>
        <w:tabs>
          <w:tab w:val="left" w:pos="1080"/>
        </w:tabs>
        <w:spacing w:before="120"/>
        <w:rPr>
          <w:rFonts w:asciiTheme="minorHAnsi" w:hAnsiTheme="minorHAnsi" w:cstheme="minorHAnsi"/>
          <w:sz w:val="22"/>
          <w:szCs w:val="22"/>
        </w:rPr>
      </w:pPr>
    </w:p>
    <w:p w14:paraId="6A20EE33" w14:textId="6E3DA3ED" w:rsidR="007211B5" w:rsidRPr="000143A5" w:rsidRDefault="007211B5" w:rsidP="006B3CF8">
      <w:pPr>
        <w:tabs>
          <w:tab w:val="left" w:pos="1080"/>
        </w:tabs>
        <w:spacing w:before="120"/>
        <w:rPr>
          <w:rFonts w:asciiTheme="minorHAnsi" w:hAnsiTheme="minorHAnsi" w:cstheme="minorHAnsi"/>
          <w:sz w:val="22"/>
          <w:szCs w:val="22"/>
        </w:rPr>
      </w:pPr>
      <w:r w:rsidRPr="000143A5">
        <w:rPr>
          <w:rFonts w:asciiTheme="minorHAnsi" w:hAnsiTheme="minorHAnsi" w:cstheme="minorHAnsi"/>
          <w:sz w:val="22"/>
          <w:szCs w:val="22"/>
        </w:rPr>
        <w:t xml:space="preserve">Completion of a Blueteq form is mandatory for approval and supply of </w:t>
      </w:r>
      <w:r w:rsidR="00E952A1" w:rsidRPr="000143A5">
        <w:rPr>
          <w:rStyle w:val="markedcontent"/>
          <w:rFonts w:asciiTheme="minorHAnsi" w:hAnsiTheme="minorHAnsi" w:cstheme="minorHAnsi"/>
          <w:sz w:val="22"/>
          <w:szCs w:val="22"/>
        </w:rPr>
        <w:t>PF-07321332 (nirmatrelvir) plus ritonavir (Paxlovid®), remdesivir and sotrovimab</w:t>
      </w:r>
      <w:r w:rsidR="00E952A1" w:rsidRPr="000143A5">
        <w:rPr>
          <w:rFonts w:asciiTheme="minorHAnsi" w:hAnsiTheme="minorHAnsi" w:cstheme="minorHAnsi"/>
          <w:sz w:val="22"/>
          <w:szCs w:val="22"/>
        </w:rPr>
        <w:t>:</w:t>
      </w:r>
    </w:p>
    <w:p w14:paraId="1BC012B5" w14:textId="77777777" w:rsidR="00F20018" w:rsidRPr="000143A5" w:rsidRDefault="00F20018" w:rsidP="006B3CF8">
      <w:pPr>
        <w:spacing w:before="120"/>
        <w:rPr>
          <w:rFonts w:asciiTheme="minorHAnsi" w:hAnsiTheme="minorHAnsi" w:cstheme="minorHAnsi"/>
          <w:sz w:val="22"/>
          <w:szCs w:val="22"/>
          <w:u w:val="single"/>
        </w:rPr>
      </w:pPr>
    </w:p>
    <w:p w14:paraId="0C5F11D1" w14:textId="1876AC63" w:rsidR="007211B5" w:rsidRPr="000143A5" w:rsidRDefault="00134BB4" w:rsidP="006B3CF8">
      <w:pPr>
        <w:spacing w:before="120"/>
        <w:rPr>
          <w:rFonts w:asciiTheme="minorHAnsi" w:hAnsiTheme="minorHAnsi" w:cstheme="minorHAnsi"/>
          <w:sz w:val="22"/>
          <w:szCs w:val="22"/>
        </w:rPr>
      </w:pPr>
      <w:r w:rsidRPr="000143A5">
        <w:rPr>
          <w:rFonts w:asciiTheme="minorHAnsi" w:hAnsiTheme="minorHAnsi" w:cstheme="minorHAnsi"/>
          <w:sz w:val="22"/>
          <w:szCs w:val="22"/>
          <w:u w:val="single"/>
        </w:rPr>
        <w:t>RSCH</w:t>
      </w:r>
      <w:r w:rsidR="007211B5" w:rsidRPr="000143A5">
        <w:rPr>
          <w:rFonts w:asciiTheme="minorHAnsi" w:hAnsiTheme="minorHAnsi" w:cstheme="minorHAnsi"/>
          <w:sz w:val="22"/>
          <w:szCs w:val="22"/>
          <w:u w:val="single"/>
        </w:rPr>
        <w:t>/PRH</w:t>
      </w:r>
    </w:p>
    <w:p w14:paraId="19065FB6" w14:textId="0E6067C8" w:rsidR="00E405A5" w:rsidRPr="000143A5" w:rsidRDefault="00E952A1" w:rsidP="006B3CF8">
      <w:pPr>
        <w:spacing w:before="120"/>
        <w:rPr>
          <w:rFonts w:asciiTheme="minorHAnsi" w:hAnsiTheme="minorHAnsi" w:cstheme="minorHAnsi"/>
          <w:sz w:val="22"/>
          <w:szCs w:val="22"/>
          <w:u w:val="single"/>
        </w:rPr>
      </w:pPr>
      <w:r w:rsidRPr="000143A5">
        <w:rPr>
          <w:rStyle w:val="markedcontent"/>
          <w:rFonts w:asciiTheme="minorHAnsi" w:hAnsiTheme="minorHAnsi" w:cstheme="minorHAnsi"/>
          <w:sz w:val="22"/>
          <w:szCs w:val="22"/>
        </w:rPr>
        <w:t xml:space="preserve">PF-07321332 (nirmatrelvir) plus ritonavir (Paxlovid®), remdesivir </w:t>
      </w:r>
      <w:r w:rsidR="00A94403" w:rsidRPr="000143A5">
        <w:rPr>
          <w:rStyle w:val="markedcontent"/>
          <w:rFonts w:asciiTheme="minorHAnsi" w:hAnsiTheme="minorHAnsi" w:cstheme="minorHAnsi"/>
          <w:sz w:val="22"/>
          <w:szCs w:val="22"/>
        </w:rPr>
        <w:t xml:space="preserve">and </w:t>
      </w:r>
      <w:r w:rsidR="00A118D0" w:rsidRPr="000143A5">
        <w:rPr>
          <w:rStyle w:val="markedcontent"/>
          <w:rFonts w:asciiTheme="minorHAnsi" w:hAnsiTheme="minorHAnsi" w:cstheme="minorHAnsi"/>
          <w:sz w:val="22"/>
          <w:szCs w:val="22"/>
        </w:rPr>
        <w:t>s</w:t>
      </w:r>
      <w:r w:rsidR="00A94403" w:rsidRPr="000143A5">
        <w:rPr>
          <w:rStyle w:val="markedcontent"/>
          <w:rFonts w:asciiTheme="minorHAnsi" w:hAnsiTheme="minorHAnsi" w:cstheme="minorHAnsi"/>
          <w:sz w:val="22"/>
          <w:szCs w:val="22"/>
        </w:rPr>
        <w:t>otrovimab</w:t>
      </w:r>
      <w:r w:rsidR="00884861" w:rsidRPr="000143A5">
        <w:rPr>
          <w:rFonts w:asciiTheme="minorHAnsi" w:hAnsiTheme="minorHAnsi" w:cstheme="minorHAnsi"/>
          <w:sz w:val="22"/>
          <w:szCs w:val="22"/>
        </w:rPr>
        <w:t xml:space="preserve"> </w:t>
      </w:r>
      <w:r w:rsidR="007211B5" w:rsidRPr="000143A5">
        <w:rPr>
          <w:rFonts w:asciiTheme="minorHAnsi" w:hAnsiTheme="minorHAnsi" w:cstheme="minorHAnsi"/>
          <w:sz w:val="22"/>
          <w:szCs w:val="22"/>
        </w:rPr>
        <w:t>Blueteq form</w:t>
      </w:r>
      <w:r w:rsidRPr="000143A5">
        <w:rPr>
          <w:rFonts w:asciiTheme="minorHAnsi" w:hAnsiTheme="minorHAnsi" w:cstheme="minorHAnsi"/>
          <w:sz w:val="22"/>
          <w:szCs w:val="22"/>
        </w:rPr>
        <w:t>s</w:t>
      </w:r>
      <w:r w:rsidR="007211B5" w:rsidRPr="000143A5">
        <w:rPr>
          <w:rFonts w:asciiTheme="minorHAnsi" w:hAnsiTheme="minorHAnsi" w:cstheme="minorHAnsi"/>
          <w:sz w:val="22"/>
          <w:szCs w:val="22"/>
        </w:rPr>
        <w:t xml:space="preserve"> must be completed by the specialist pharmacist for all requests. The pharmacist supplying the medication should inform the infection specialist pharmacist</w:t>
      </w:r>
      <w:r w:rsidR="002A29B1" w:rsidRPr="000143A5">
        <w:rPr>
          <w:rFonts w:asciiTheme="minorHAnsi" w:hAnsiTheme="minorHAnsi" w:cstheme="minorHAnsi"/>
          <w:sz w:val="22"/>
          <w:szCs w:val="22"/>
        </w:rPr>
        <w:t xml:space="preserve"> via email or on bleep 8033</w:t>
      </w:r>
      <w:r w:rsidR="007211B5" w:rsidRPr="000143A5">
        <w:rPr>
          <w:rFonts w:asciiTheme="minorHAnsi" w:hAnsiTheme="minorHAnsi" w:cstheme="minorHAnsi"/>
          <w:sz w:val="22"/>
          <w:szCs w:val="22"/>
        </w:rPr>
        <w:t>.</w:t>
      </w:r>
    </w:p>
    <w:p w14:paraId="24929120" w14:textId="77777777" w:rsidR="007211B5" w:rsidRPr="000143A5" w:rsidRDefault="007211B5" w:rsidP="006B3CF8">
      <w:pPr>
        <w:spacing w:before="120"/>
        <w:rPr>
          <w:rFonts w:asciiTheme="minorHAnsi" w:hAnsiTheme="minorHAnsi" w:cstheme="minorHAnsi"/>
          <w:sz w:val="22"/>
          <w:szCs w:val="22"/>
          <w:u w:val="single"/>
        </w:rPr>
      </w:pPr>
      <w:r w:rsidRPr="000143A5">
        <w:rPr>
          <w:rFonts w:asciiTheme="minorHAnsi" w:hAnsiTheme="minorHAnsi" w:cstheme="minorHAnsi"/>
          <w:sz w:val="22"/>
          <w:szCs w:val="22"/>
          <w:u w:val="single"/>
        </w:rPr>
        <w:t>Worthing/SRH</w:t>
      </w:r>
    </w:p>
    <w:p w14:paraId="25D64175" w14:textId="3DDFD0F6" w:rsidR="00332C22" w:rsidRPr="000143A5" w:rsidRDefault="00E952A1" w:rsidP="00332C22">
      <w:pPr>
        <w:tabs>
          <w:tab w:val="left" w:pos="1080"/>
        </w:tabs>
        <w:spacing w:before="120"/>
        <w:rPr>
          <w:rFonts w:asciiTheme="minorHAnsi" w:hAnsiTheme="minorHAnsi" w:cstheme="minorHAnsi"/>
          <w:sz w:val="22"/>
          <w:szCs w:val="22"/>
        </w:rPr>
      </w:pPr>
      <w:r w:rsidRPr="000143A5">
        <w:rPr>
          <w:rStyle w:val="markedcontent"/>
          <w:rFonts w:asciiTheme="minorHAnsi" w:hAnsiTheme="minorHAnsi" w:cstheme="minorHAnsi"/>
          <w:sz w:val="22"/>
          <w:szCs w:val="22"/>
        </w:rPr>
        <w:t>PF-07321332 (nirmatrelvir) plus ritonavir (Paxlovid®), remdesivir and sotrovimab</w:t>
      </w:r>
      <w:r w:rsidRPr="000143A5">
        <w:rPr>
          <w:rFonts w:asciiTheme="minorHAnsi" w:hAnsiTheme="minorHAnsi" w:cstheme="minorHAnsi"/>
          <w:sz w:val="22"/>
          <w:szCs w:val="22"/>
        </w:rPr>
        <w:t xml:space="preserve"> Blueteq forms </w:t>
      </w:r>
      <w:r w:rsidR="007211B5" w:rsidRPr="000143A5">
        <w:rPr>
          <w:rFonts w:asciiTheme="minorHAnsi" w:hAnsiTheme="minorHAnsi" w:cstheme="minorHAnsi"/>
          <w:sz w:val="22"/>
          <w:szCs w:val="22"/>
        </w:rPr>
        <w:t xml:space="preserve">must be completed by the prescribing clinician and processed by the ward pharmacist. This is available on </w:t>
      </w:r>
      <w:r w:rsidR="00884861" w:rsidRPr="000143A5">
        <w:rPr>
          <w:rFonts w:asciiTheme="minorHAnsi" w:hAnsiTheme="minorHAnsi" w:cstheme="minorHAnsi"/>
          <w:sz w:val="22"/>
          <w:szCs w:val="22"/>
        </w:rPr>
        <w:t xml:space="preserve">the </w:t>
      </w:r>
      <w:hyperlink r:id="rId22" w:history="1">
        <w:r w:rsidR="007211B5" w:rsidRPr="000143A5">
          <w:rPr>
            <w:rStyle w:val="Hyperlink"/>
            <w:rFonts w:asciiTheme="minorHAnsi" w:hAnsiTheme="minorHAnsi" w:cstheme="minorHAnsi"/>
            <w:sz w:val="22"/>
            <w:szCs w:val="22"/>
          </w:rPr>
          <w:t>intranet</w:t>
        </w:r>
      </w:hyperlink>
      <w:r w:rsidR="007211B5" w:rsidRPr="000143A5">
        <w:rPr>
          <w:rFonts w:asciiTheme="minorHAnsi" w:hAnsiTheme="minorHAnsi" w:cstheme="minorHAnsi"/>
          <w:sz w:val="22"/>
          <w:szCs w:val="22"/>
        </w:rPr>
        <w:t xml:space="preserve">. Blueteq forms must be emailed to </w:t>
      </w:r>
      <w:hyperlink r:id="rId23" w:history="1">
        <w:r w:rsidR="007211B5" w:rsidRPr="000143A5">
          <w:rPr>
            <w:rStyle w:val="Hyperlink"/>
            <w:rFonts w:asciiTheme="minorHAnsi" w:hAnsiTheme="minorHAnsi" w:cstheme="minorHAnsi"/>
            <w:sz w:val="22"/>
            <w:szCs w:val="22"/>
          </w:rPr>
          <w:t>uhsussex.COVIDdrugforms@nhs.net</w:t>
        </w:r>
      </w:hyperlink>
      <w:r w:rsidR="007211B5" w:rsidRPr="000143A5">
        <w:rPr>
          <w:rFonts w:asciiTheme="minorHAnsi" w:hAnsiTheme="minorHAnsi" w:cstheme="minorHAnsi"/>
          <w:sz w:val="22"/>
          <w:szCs w:val="22"/>
        </w:rPr>
        <w:t xml:space="preserve"> and </w:t>
      </w:r>
      <w:hyperlink r:id="rId24" w:history="1">
        <w:r w:rsidR="007211B5" w:rsidRPr="000143A5">
          <w:rPr>
            <w:rStyle w:val="Hyperlink"/>
            <w:rFonts w:asciiTheme="minorHAnsi" w:hAnsiTheme="minorHAnsi" w:cstheme="minorHAnsi"/>
            <w:sz w:val="22"/>
            <w:szCs w:val="22"/>
          </w:rPr>
          <w:t>uhsussex.research@nhs.net</w:t>
        </w:r>
      </w:hyperlink>
      <w:r w:rsidR="007211B5" w:rsidRPr="000143A5">
        <w:rPr>
          <w:rFonts w:asciiTheme="minorHAnsi" w:hAnsiTheme="minorHAnsi" w:cstheme="minorHAnsi"/>
          <w:sz w:val="22"/>
          <w:szCs w:val="22"/>
        </w:rPr>
        <w:t xml:space="preserve"> by the ward pharmacist</w:t>
      </w:r>
      <w:r w:rsidR="00F42C37" w:rsidRPr="000143A5">
        <w:rPr>
          <w:rFonts w:asciiTheme="minorHAnsi" w:hAnsiTheme="minorHAnsi" w:cstheme="minorHAnsi"/>
          <w:sz w:val="22"/>
          <w:szCs w:val="22"/>
        </w:rPr>
        <w:t xml:space="preserve"> to be reviewed by the antimicrobial pharmacists</w:t>
      </w:r>
      <w:r w:rsidR="007211B5" w:rsidRPr="000143A5">
        <w:rPr>
          <w:rFonts w:asciiTheme="minorHAnsi" w:hAnsiTheme="minorHAnsi" w:cstheme="minorHAnsi"/>
          <w:sz w:val="22"/>
          <w:szCs w:val="22"/>
        </w:rPr>
        <w:t>.</w:t>
      </w:r>
    </w:p>
    <w:p w14:paraId="2799EE43" w14:textId="77777777" w:rsidR="00E952A1" w:rsidRPr="000143A5" w:rsidRDefault="00E952A1" w:rsidP="00332C22">
      <w:pPr>
        <w:tabs>
          <w:tab w:val="left" w:pos="1080"/>
        </w:tabs>
        <w:spacing w:before="120"/>
        <w:rPr>
          <w:rFonts w:asciiTheme="minorHAnsi" w:hAnsiTheme="minorHAnsi" w:cstheme="minorHAnsi"/>
          <w:b/>
          <w:bCs/>
          <w:sz w:val="22"/>
          <w:szCs w:val="22"/>
        </w:rPr>
      </w:pPr>
    </w:p>
    <w:p w14:paraId="57564220" w14:textId="77777777" w:rsidR="00AA0353" w:rsidRPr="000143A5" w:rsidRDefault="00D004FA" w:rsidP="00332C22">
      <w:pPr>
        <w:tabs>
          <w:tab w:val="left" w:pos="1080"/>
        </w:tabs>
        <w:spacing w:before="120"/>
        <w:rPr>
          <w:rFonts w:asciiTheme="minorHAnsi" w:hAnsiTheme="minorHAnsi" w:cstheme="minorHAnsi"/>
          <w:b/>
          <w:bCs/>
          <w:sz w:val="22"/>
          <w:szCs w:val="22"/>
          <w:u w:val="single"/>
        </w:rPr>
      </w:pPr>
      <w:r w:rsidRPr="000143A5">
        <w:rPr>
          <w:rFonts w:asciiTheme="minorHAnsi" w:hAnsiTheme="minorHAnsi" w:cstheme="minorHAnsi"/>
          <w:b/>
          <w:bCs/>
          <w:sz w:val="22"/>
          <w:szCs w:val="22"/>
          <w:u w:val="single"/>
        </w:rPr>
        <w:t>Continuing care</w:t>
      </w:r>
    </w:p>
    <w:p w14:paraId="2333B1E6" w14:textId="49EADAD1" w:rsidR="00F42C37" w:rsidRPr="000143A5" w:rsidRDefault="00E5375B" w:rsidP="00124F95">
      <w:pPr>
        <w:spacing w:before="120"/>
        <w:rPr>
          <w:rFonts w:asciiTheme="minorHAnsi" w:hAnsiTheme="minorHAnsi" w:cstheme="minorHAnsi"/>
          <w:b/>
          <w:sz w:val="22"/>
          <w:szCs w:val="22"/>
        </w:rPr>
      </w:pPr>
      <w:r w:rsidRPr="000143A5">
        <w:rPr>
          <w:rFonts w:asciiTheme="minorHAnsi" w:hAnsiTheme="minorHAnsi" w:cstheme="minorHAnsi"/>
          <w:sz w:val="22"/>
          <w:szCs w:val="22"/>
        </w:rPr>
        <w:t xml:space="preserve">All handovers of clinical care (including between hospitals if patients are transferred, between levels of care and clinical teams within hospitals) must explicitly mention that </w:t>
      </w:r>
      <w:r w:rsidR="00124F95" w:rsidRPr="000143A5">
        <w:rPr>
          <w:rStyle w:val="markedcontent"/>
          <w:rFonts w:asciiTheme="minorHAnsi" w:hAnsiTheme="minorHAnsi" w:cstheme="minorHAnsi"/>
          <w:sz w:val="22"/>
          <w:szCs w:val="22"/>
        </w:rPr>
        <w:t xml:space="preserve">PF-07321332 (nirmatrelvir) plus ritonavir (Paxlovid®), remdesivir or </w:t>
      </w:r>
      <w:r w:rsidR="00A118D0" w:rsidRPr="000143A5">
        <w:rPr>
          <w:rStyle w:val="markedcontent"/>
          <w:rFonts w:asciiTheme="minorHAnsi" w:hAnsiTheme="minorHAnsi" w:cstheme="minorHAnsi"/>
          <w:sz w:val="22"/>
          <w:szCs w:val="22"/>
        </w:rPr>
        <w:t>s</w:t>
      </w:r>
      <w:r w:rsidR="00A94403" w:rsidRPr="000143A5">
        <w:rPr>
          <w:rStyle w:val="markedcontent"/>
          <w:rFonts w:asciiTheme="minorHAnsi" w:hAnsiTheme="minorHAnsi" w:cstheme="minorHAnsi"/>
          <w:sz w:val="22"/>
          <w:szCs w:val="22"/>
        </w:rPr>
        <w:t>otrovimab</w:t>
      </w:r>
      <w:r w:rsidR="003B2498" w:rsidRPr="000143A5">
        <w:rPr>
          <w:rFonts w:asciiTheme="minorHAnsi" w:hAnsiTheme="minorHAnsi" w:cstheme="minorHAnsi"/>
          <w:sz w:val="22"/>
          <w:szCs w:val="22"/>
        </w:rPr>
        <w:t xml:space="preserve"> </w:t>
      </w:r>
      <w:r w:rsidRPr="000143A5">
        <w:rPr>
          <w:rFonts w:asciiTheme="minorHAnsi" w:hAnsiTheme="minorHAnsi" w:cstheme="minorHAnsi"/>
          <w:sz w:val="22"/>
          <w:szCs w:val="22"/>
        </w:rPr>
        <w:t xml:space="preserve">has been </w:t>
      </w:r>
      <w:r w:rsidRPr="000143A5">
        <w:rPr>
          <w:rFonts w:asciiTheme="minorHAnsi" w:hAnsiTheme="minorHAnsi" w:cstheme="minorHAnsi"/>
          <w:sz w:val="22"/>
          <w:szCs w:val="22"/>
        </w:rPr>
        <w:lastRenderedPageBreak/>
        <w:t xml:space="preserve">given </w:t>
      </w:r>
      <w:r w:rsidR="00124F95" w:rsidRPr="000143A5">
        <w:rPr>
          <w:rFonts w:asciiTheme="minorHAnsi" w:hAnsiTheme="minorHAnsi" w:cstheme="minorHAnsi"/>
          <w:sz w:val="22"/>
          <w:szCs w:val="22"/>
        </w:rPr>
        <w:t xml:space="preserve">and the date of administration. </w:t>
      </w:r>
      <w:r w:rsidRPr="000143A5">
        <w:rPr>
          <w:rFonts w:asciiTheme="minorHAnsi" w:hAnsiTheme="minorHAnsi" w:cstheme="minorHAnsi"/>
          <w:sz w:val="22"/>
          <w:szCs w:val="22"/>
        </w:rPr>
        <w:t xml:space="preserve">The GP should </w:t>
      </w:r>
      <w:r w:rsidR="00124F95" w:rsidRPr="000143A5">
        <w:rPr>
          <w:rFonts w:asciiTheme="minorHAnsi" w:hAnsiTheme="minorHAnsi" w:cstheme="minorHAnsi"/>
          <w:sz w:val="22"/>
          <w:szCs w:val="22"/>
        </w:rPr>
        <w:t xml:space="preserve">also </w:t>
      </w:r>
      <w:r w:rsidRPr="000143A5">
        <w:rPr>
          <w:rFonts w:asciiTheme="minorHAnsi" w:hAnsiTheme="minorHAnsi" w:cstheme="minorHAnsi"/>
          <w:sz w:val="22"/>
          <w:szCs w:val="22"/>
        </w:rPr>
        <w:t>be informe</w:t>
      </w:r>
      <w:r w:rsidR="006A5C07" w:rsidRPr="000143A5">
        <w:rPr>
          <w:rFonts w:asciiTheme="minorHAnsi" w:hAnsiTheme="minorHAnsi" w:cstheme="minorHAnsi"/>
          <w:sz w:val="22"/>
          <w:szCs w:val="22"/>
        </w:rPr>
        <w:t>d on the discharge summary that</w:t>
      </w:r>
      <w:r w:rsidR="00884861" w:rsidRPr="000143A5">
        <w:rPr>
          <w:rStyle w:val="markedcontent"/>
          <w:rFonts w:asciiTheme="minorHAnsi" w:hAnsiTheme="minorHAnsi" w:cstheme="minorHAnsi"/>
          <w:sz w:val="22"/>
          <w:szCs w:val="22"/>
        </w:rPr>
        <w:t xml:space="preserve"> </w:t>
      </w:r>
      <w:r w:rsidR="00124F95" w:rsidRPr="000143A5">
        <w:rPr>
          <w:rStyle w:val="markedcontent"/>
          <w:rFonts w:asciiTheme="minorHAnsi" w:hAnsiTheme="minorHAnsi" w:cstheme="minorHAnsi"/>
          <w:sz w:val="22"/>
          <w:szCs w:val="22"/>
        </w:rPr>
        <w:t>the above</w:t>
      </w:r>
      <w:r w:rsidRPr="000143A5">
        <w:rPr>
          <w:rFonts w:asciiTheme="minorHAnsi" w:hAnsiTheme="minorHAnsi" w:cstheme="minorHAnsi"/>
          <w:sz w:val="22"/>
          <w:szCs w:val="22"/>
        </w:rPr>
        <w:t xml:space="preserve"> has been prescribed specifying the </w:t>
      </w:r>
      <w:r w:rsidR="00124F95" w:rsidRPr="000143A5">
        <w:rPr>
          <w:rFonts w:asciiTheme="minorHAnsi" w:hAnsiTheme="minorHAnsi" w:cstheme="minorHAnsi"/>
          <w:sz w:val="22"/>
          <w:szCs w:val="22"/>
        </w:rPr>
        <w:t>date of administration.</w:t>
      </w:r>
    </w:p>
    <w:p w14:paraId="5391549F" w14:textId="063B96D9" w:rsidR="006B6EFE" w:rsidRPr="000143A5" w:rsidRDefault="000143A5" w:rsidP="006B6EFE">
      <w:pPr>
        <w:tabs>
          <w:tab w:val="left" w:pos="5898"/>
        </w:tabs>
        <w:spacing w:before="120"/>
        <w:rPr>
          <w:rFonts w:asciiTheme="minorHAnsi" w:hAnsiTheme="minorHAnsi" w:cstheme="minorHAnsi"/>
          <w:b/>
          <w:sz w:val="22"/>
          <w:szCs w:val="22"/>
          <w:u w:val="single"/>
        </w:rPr>
      </w:pPr>
      <w:r>
        <w:rPr>
          <w:rFonts w:asciiTheme="minorHAnsi" w:hAnsiTheme="minorHAnsi" w:cstheme="minorHAnsi"/>
          <w:b/>
          <w:sz w:val="22"/>
          <w:szCs w:val="22"/>
          <w:u w:val="single"/>
        </w:rPr>
        <w:t>Dose</w:t>
      </w:r>
    </w:p>
    <w:p w14:paraId="09684529" w14:textId="328FD73E" w:rsidR="00FD4698" w:rsidRPr="000143A5" w:rsidRDefault="00FD4698" w:rsidP="006B6EFE">
      <w:pPr>
        <w:pStyle w:val="ListParagraph"/>
        <w:numPr>
          <w:ilvl w:val="0"/>
          <w:numId w:val="1"/>
        </w:numPr>
        <w:spacing w:before="120" w:after="0" w:line="240" w:lineRule="auto"/>
        <w:rPr>
          <w:rFonts w:cstheme="minorHAnsi"/>
        </w:rPr>
      </w:pPr>
      <w:r w:rsidRPr="000143A5">
        <w:rPr>
          <w:rFonts w:cstheme="minorHAnsi"/>
        </w:rPr>
        <w:t xml:space="preserve">The recommended dose of </w:t>
      </w:r>
      <w:r w:rsidRPr="000143A5">
        <w:rPr>
          <w:rFonts w:cstheme="minorHAnsi"/>
          <w:b/>
        </w:rPr>
        <w:t>PF-07321332 (nirmatrelvir) plus ritonavir (Paxlovid</w:t>
      </w:r>
      <w:r w:rsidRPr="000143A5">
        <w:rPr>
          <w:rStyle w:val="markedcontent"/>
          <w:rFonts w:cstheme="minorHAnsi"/>
          <w:b/>
        </w:rPr>
        <w:t>®</w:t>
      </w:r>
      <w:r w:rsidRPr="000143A5">
        <w:rPr>
          <w:rFonts w:cstheme="minorHAnsi"/>
          <w:b/>
        </w:rPr>
        <w:t>)</w:t>
      </w:r>
      <w:r w:rsidRPr="000143A5">
        <w:rPr>
          <w:rFonts w:cstheme="minorHAnsi"/>
        </w:rPr>
        <w:t xml:space="preserve"> is 300mg (two 150mg tablets) PF-07321332 (also known as nirmatrelvir) with 100mg (one 100mg tablet) ritonavir taken together orally twice daily for 5 days.</w:t>
      </w:r>
      <w:r w:rsidR="003545ED" w:rsidRPr="000143A5">
        <w:rPr>
          <w:rFonts w:cstheme="minorHAnsi"/>
        </w:rPr>
        <w:t xml:space="preserve"> See Renal section for patients with </w:t>
      </w:r>
      <w:r w:rsidR="001125B7" w:rsidRPr="000143A5">
        <w:rPr>
          <w:rFonts w:cstheme="minorHAnsi"/>
        </w:rPr>
        <w:t>an eGFR</w:t>
      </w:r>
      <w:r w:rsidR="003545ED" w:rsidRPr="000143A5">
        <w:rPr>
          <w:rFonts w:cstheme="minorHAnsi"/>
        </w:rPr>
        <w:t xml:space="preserve"> of 30</w:t>
      </w:r>
      <w:r w:rsidR="00F43696" w:rsidRPr="000143A5">
        <w:rPr>
          <w:rFonts w:cstheme="minorHAnsi"/>
        </w:rPr>
        <w:t xml:space="preserve"> – 59 </w:t>
      </w:r>
      <w:r w:rsidR="003545ED" w:rsidRPr="000143A5">
        <w:rPr>
          <w:rFonts w:cstheme="minorHAnsi"/>
        </w:rPr>
        <w:t>ml/min</w:t>
      </w:r>
      <w:r w:rsidR="00F43696" w:rsidRPr="000143A5">
        <w:rPr>
          <w:rFonts w:cstheme="minorHAnsi"/>
        </w:rPr>
        <w:t>.</w:t>
      </w:r>
    </w:p>
    <w:p w14:paraId="0031F0DE" w14:textId="074BDE6B" w:rsidR="00FD4698" w:rsidRPr="000143A5" w:rsidRDefault="00FD4698" w:rsidP="006B6EFE">
      <w:pPr>
        <w:pStyle w:val="ListParagraph"/>
        <w:numPr>
          <w:ilvl w:val="0"/>
          <w:numId w:val="1"/>
        </w:numPr>
        <w:spacing w:before="120" w:after="0" w:line="240" w:lineRule="auto"/>
        <w:rPr>
          <w:rFonts w:cstheme="minorHAnsi"/>
        </w:rPr>
      </w:pPr>
      <w:r w:rsidRPr="000143A5">
        <w:rPr>
          <w:rFonts w:cstheme="minorHAnsi"/>
        </w:rPr>
        <w:t xml:space="preserve">The recommended dose of </w:t>
      </w:r>
      <w:r w:rsidRPr="000143A5">
        <w:rPr>
          <w:rFonts w:cstheme="minorHAnsi"/>
          <w:b/>
        </w:rPr>
        <w:t>remdesivir</w:t>
      </w:r>
      <w:r w:rsidRPr="000143A5">
        <w:rPr>
          <w:rFonts w:cstheme="minorHAnsi"/>
        </w:rPr>
        <w:t xml:space="preserve"> for this cohort is 200mg intravenously on day 1 followed by 100mg </w:t>
      </w:r>
      <w:r w:rsidR="00E83899" w:rsidRPr="000143A5">
        <w:rPr>
          <w:rFonts w:cstheme="minorHAnsi"/>
        </w:rPr>
        <w:t xml:space="preserve">intravenously once daily </w:t>
      </w:r>
      <w:r w:rsidRPr="000143A5">
        <w:rPr>
          <w:rFonts w:cstheme="minorHAnsi"/>
        </w:rPr>
        <w:t>on days 2 and 3.</w:t>
      </w:r>
      <w:r w:rsidR="00531188" w:rsidRPr="000143A5">
        <w:rPr>
          <w:rFonts w:cstheme="minorHAnsi"/>
        </w:rPr>
        <w:t xml:space="preserve"> Please see the Injectable Medicines Guide (Medusa) for administration as there are two </w:t>
      </w:r>
      <w:r w:rsidR="001252AB" w:rsidRPr="000143A5">
        <w:rPr>
          <w:rFonts w:cstheme="minorHAnsi"/>
        </w:rPr>
        <w:t>preparations</w:t>
      </w:r>
      <w:r w:rsidR="00531188" w:rsidRPr="000143A5">
        <w:rPr>
          <w:rFonts w:cstheme="minorHAnsi"/>
        </w:rPr>
        <w:t xml:space="preserve">. </w:t>
      </w:r>
    </w:p>
    <w:p w14:paraId="04A06CEA" w14:textId="1AED7674" w:rsidR="00DB788F" w:rsidRPr="000143A5" w:rsidRDefault="00DB788F" w:rsidP="00DB788F">
      <w:pPr>
        <w:pStyle w:val="ListParagraph"/>
        <w:numPr>
          <w:ilvl w:val="1"/>
          <w:numId w:val="1"/>
        </w:numPr>
        <w:spacing w:before="120" w:after="0" w:line="240" w:lineRule="auto"/>
        <w:rPr>
          <w:rFonts w:cstheme="minorHAnsi"/>
        </w:rPr>
      </w:pPr>
      <w:r w:rsidRPr="000143A5">
        <w:rPr>
          <w:rStyle w:val="markedcontent"/>
          <w:rFonts w:cstheme="minorHAnsi"/>
        </w:rPr>
        <w:t>If the patient experiences clinical deterioration such that low flow supplemental</w:t>
      </w:r>
      <w:r w:rsidRPr="000143A5">
        <w:rPr>
          <w:rFonts w:cstheme="minorHAnsi"/>
        </w:rPr>
        <w:t xml:space="preserve"> </w:t>
      </w:r>
      <w:r w:rsidRPr="000143A5">
        <w:rPr>
          <w:rStyle w:val="markedcontent"/>
          <w:rFonts w:cstheme="minorHAnsi"/>
        </w:rPr>
        <w:t xml:space="preserve">oxygen is required, the patient may be considered for treatment with a 5-day course of remdesivir. Please see </w:t>
      </w:r>
      <w:hyperlink r:id="rId25" w:anchor="content,f69d4343-226f-4d37-a2a7-0020bb1b9219" w:history="1">
        <w:r w:rsidRPr="000143A5">
          <w:rPr>
            <w:rStyle w:val="Hyperlink"/>
            <w:rFonts w:cstheme="minorHAnsi"/>
          </w:rPr>
          <w:t>group 1 guidance</w:t>
        </w:r>
      </w:hyperlink>
      <w:r w:rsidRPr="000143A5">
        <w:rPr>
          <w:rStyle w:val="markedcontent"/>
          <w:rFonts w:cstheme="minorHAnsi"/>
        </w:rPr>
        <w:t xml:space="preserve">. </w:t>
      </w:r>
      <w:r w:rsidRPr="000143A5">
        <w:rPr>
          <w:rFonts w:cstheme="minorHAnsi"/>
        </w:rPr>
        <w:t xml:space="preserve"> </w:t>
      </w:r>
    </w:p>
    <w:p w14:paraId="16F22641" w14:textId="77777777" w:rsidR="009D22F0" w:rsidRPr="000143A5" w:rsidRDefault="009D22F0" w:rsidP="006B6EFE">
      <w:pPr>
        <w:pStyle w:val="ListParagraph"/>
        <w:numPr>
          <w:ilvl w:val="0"/>
          <w:numId w:val="1"/>
        </w:numPr>
        <w:spacing w:before="120" w:after="0" w:line="240" w:lineRule="auto"/>
        <w:rPr>
          <w:rFonts w:cstheme="minorHAnsi"/>
        </w:rPr>
      </w:pPr>
      <w:r w:rsidRPr="000143A5">
        <w:rPr>
          <w:rFonts w:cstheme="minorHAnsi"/>
        </w:rPr>
        <w:t>The recommended dose of</w:t>
      </w:r>
      <w:r w:rsidRPr="000143A5">
        <w:rPr>
          <w:rFonts w:cstheme="minorHAnsi"/>
          <w:b/>
        </w:rPr>
        <w:t xml:space="preserve"> sotrovimab</w:t>
      </w:r>
      <w:r w:rsidRPr="000143A5">
        <w:rPr>
          <w:rFonts w:cstheme="minorHAnsi"/>
        </w:rPr>
        <w:t xml:space="preserve"> is 500mg to be administered as a single intravenous infusion.</w:t>
      </w:r>
      <w:r w:rsidR="003545ED" w:rsidRPr="000143A5">
        <w:rPr>
          <w:rFonts w:cstheme="minorHAnsi"/>
        </w:rPr>
        <w:t xml:space="preserve"> This is different to the dose in the recovery trial.</w:t>
      </w:r>
    </w:p>
    <w:p w14:paraId="6A4E2966" w14:textId="2DBA3F24" w:rsidR="00E73228" w:rsidRPr="000143A5" w:rsidRDefault="00E73228" w:rsidP="006B3CF8">
      <w:pPr>
        <w:spacing w:before="120"/>
        <w:rPr>
          <w:rFonts w:asciiTheme="minorHAnsi" w:hAnsiTheme="minorHAnsi" w:cstheme="minorHAnsi"/>
          <w:b/>
          <w:sz w:val="22"/>
          <w:szCs w:val="22"/>
        </w:rPr>
      </w:pPr>
    </w:p>
    <w:p w14:paraId="351DEAF7" w14:textId="7FECCE14" w:rsidR="003545ED" w:rsidRPr="000143A5" w:rsidRDefault="00E73B6D" w:rsidP="000143A5">
      <w:pPr>
        <w:spacing w:before="120"/>
        <w:rPr>
          <w:rFonts w:asciiTheme="minorHAnsi" w:hAnsiTheme="minorHAnsi" w:cstheme="minorHAnsi"/>
          <w:b/>
          <w:sz w:val="22"/>
          <w:szCs w:val="22"/>
          <w:u w:val="single"/>
        </w:rPr>
      </w:pPr>
      <w:r w:rsidRPr="000143A5">
        <w:rPr>
          <w:rFonts w:asciiTheme="minorHAnsi" w:hAnsiTheme="minorHAnsi" w:cstheme="minorHAnsi"/>
          <w:b/>
          <w:sz w:val="22"/>
          <w:szCs w:val="22"/>
          <w:u w:val="single"/>
        </w:rPr>
        <w:t>Administration</w:t>
      </w:r>
    </w:p>
    <w:p w14:paraId="0D4D0B6E" w14:textId="77777777" w:rsidR="000143A5" w:rsidRPr="000143A5" w:rsidRDefault="000143A5" w:rsidP="000143A5">
      <w:pPr>
        <w:pStyle w:val="ListParagraph"/>
        <w:spacing w:before="120" w:line="240" w:lineRule="auto"/>
        <w:ind w:left="0"/>
        <w:rPr>
          <w:rStyle w:val="markedcontent"/>
          <w:rFonts w:cstheme="minorHAnsi"/>
          <w:b/>
          <w:u w:val="single"/>
        </w:rPr>
      </w:pPr>
      <w:r w:rsidRPr="000143A5">
        <w:rPr>
          <w:rStyle w:val="markedcontent"/>
          <w:rFonts w:cstheme="minorHAnsi"/>
          <w:b/>
          <w:u w:val="single"/>
        </w:rPr>
        <w:t>Administration of PF-07321332 (nirmatrelvir) plus ritonavir (Paxlovid®)</w:t>
      </w:r>
    </w:p>
    <w:p w14:paraId="5FBC4583" w14:textId="77777777" w:rsidR="000143A5" w:rsidRPr="000143A5" w:rsidRDefault="000143A5" w:rsidP="000143A5">
      <w:pPr>
        <w:pStyle w:val="ListParagraph"/>
        <w:spacing w:before="120" w:line="240" w:lineRule="auto"/>
        <w:ind w:left="0"/>
        <w:rPr>
          <w:rFonts w:cstheme="minorHAnsi"/>
          <w:b/>
          <w:u w:val="single"/>
        </w:rPr>
      </w:pPr>
    </w:p>
    <w:p w14:paraId="54C3A887" w14:textId="77777777" w:rsidR="000143A5" w:rsidRPr="005C5C72" w:rsidRDefault="000143A5" w:rsidP="000143A5">
      <w:pPr>
        <w:pStyle w:val="ListParagraph"/>
        <w:spacing w:before="240" w:after="0" w:line="240" w:lineRule="auto"/>
        <w:ind w:left="0"/>
      </w:pPr>
      <w:r w:rsidRPr="000143A5">
        <w:rPr>
          <w:rFonts w:cstheme="minorHAnsi"/>
        </w:rPr>
        <w:t xml:space="preserve">PF-07321332 (nirmatrelvir) plus ritonavir (Paxlovid®) should be given as soon as possible after positive results of direct SARS-CoV-2 viral testing and within 5 days of onset of symptoms. Clinicians should assure themselves that patients are able to swallow the oral tablets. </w:t>
      </w:r>
      <w:r w:rsidRPr="005C5C72">
        <w:rPr>
          <w:rFonts w:cstheme="minorHAnsi"/>
        </w:rPr>
        <w:t xml:space="preserve">Refer to </w:t>
      </w:r>
      <w:r w:rsidRPr="005C5C72">
        <w:t>University of Liverpool, Liverpool Drug Interactions Group:</w:t>
      </w:r>
      <w:hyperlink r:id="rId26" w:history="1">
        <w:r w:rsidRPr="005C5C72">
          <w:rPr>
            <w:rStyle w:val="Hyperlink"/>
          </w:rPr>
          <w:t xml:space="preserve"> Crushing nirmatrelvir and ritonavir tablets </w:t>
        </w:r>
      </w:hyperlink>
      <w:r w:rsidRPr="005C5C72">
        <w:t>for further guidance.</w:t>
      </w:r>
    </w:p>
    <w:p w14:paraId="71251922" w14:textId="77777777" w:rsidR="000143A5" w:rsidRPr="005C5C72" w:rsidRDefault="000143A5" w:rsidP="000143A5">
      <w:pPr>
        <w:pStyle w:val="ListParagraph"/>
        <w:spacing w:before="240" w:after="0" w:line="240" w:lineRule="auto"/>
        <w:ind w:left="0"/>
        <w:rPr>
          <w:rFonts w:cstheme="minorHAnsi"/>
        </w:rPr>
      </w:pPr>
    </w:p>
    <w:p w14:paraId="3742223E" w14:textId="77777777" w:rsidR="000143A5" w:rsidRPr="005C5C72" w:rsidRDefault="000143A5" w:rsidP="000143A5">
      <w:pPr>
        <w:pStyle w:val="ListParagraph"/>
        <w:spacing w:before="240" w:after="0" w:line="240" w:lineRule="auto"/>
        <w:ind w:left="0"/>
        <w:rPr>
          <w:rFonts w:cstheme="minorHAnsi"/>
        </w:rPr>
      </w:pPr>
      <w:r w:rsidRPr="005C5C72">
        <w:rPr>
          <w:rFonts w:cstheme="minorHAnsi"/>
        </w:rPr>
        <w:t xml:space="preserve">A missed dose should be taken as soon as possible and within 8 hours of the scheduled time, and the normal dosing schedule should be resumed. If more than 8 hours has elapsed, the missed dose should not be taken and the treatment should resume according to the normal dosing schedule. </w:t>
      </w:r>
    </w:p>
    <w:p w14:paraId="7F2865C8" w14:textId="77777777" w:rsidR="000143A5" w:rsidRPr="005C5C72" w:rsidRDefault="000143A5" w:rsidP="000143A5">
      <w:pPr>
        <w:pStyle w:val="ListParagraph"/>
        <w:spacing w:before="240" w:after="0" w:line="240" w:lineRule="auto"/>
        <w:ind w:left="0"/>
      </w:pPr>
    </w:p>
    <w:p w14:paraId="4BD5B1E0" w14:textId="77777777" w:rsidR="000143A5" w:rsidRPr="000143A5" w:rsidRDefault="000143A5" w:rsidP="000143A5">
      <w:pPr>
        <w:pStyle w:val="ListParagraph"/>
        <w:spacing w:before="240" w:after="0" w:line="240" w:lineRule="auto"/>
        <w:ind w:left="0"/>
        <w:rPr>
          <w:rFonts w:cstheme="minorHAnsi"/>
        </w:rPr>
      </w:pPr>
      <w:r w:rsidRPr="005C5C72">
        <w:t>If a patient requires hospital-based care due to severe or critical COVID-19 after starting treatment with nirmatrelvir/ritonavir, the patient should complete the full 5-day treatment course at the discretion of their healthcare provider.</w:t>
      </w:r>
    </w:p>
    <w:p w14:paraId="6015C0E7" w14:textId="77777777" w:rsidR="000143A5" w:rsidRPr="000143A5" w:rsidRDefault="000143A5" w:rsidP="000143A5">
      <w:pPr>
        <w:pStyle w:val="ListParagraph"/>
        <w:spacing w:before="120" w:line="240" w:lineRule="auto"/>
        <w:ind w:left="0"/>
        <w:rPr>
          <w:rFonts w:cstheme="minorHAnsi"/>
        </w:rPr>
      </w:pPr>
    </w:p>
    <w:p w14:paraId="3D9658A7" w14:textId="77777777" w:rsidR="000143A5" w:rsidRPr="000143A5" w:rsidRDefault="000143A5" w:rsidP="000143A5">
      <w:pPr>
        <w:pStyle w:val="ListParagraph"/>
        <w:spacing w:before="120" w:line="240" w:lineRule="auto"/>
        <w:ind w:left="0"/>
        <w:rPr>
          <w:rStyle w:val="markedcontent"/>
          <w:rFonts w:cstheme="minorHAnsi"/>
        </w:rPr>
      </w:pPr>
      <w:r w:rsidRPr="000143A5">
        <w:rPr>
          <w:rStyle w:val="markedcontent"/>
          <w:rFonts w:cstheme="minorHAnsi"/>
        </w:rPr>
        <w:t>Patients should be advised of the possible gastro-intestinal side-effects of treatment with</w:t>
      </w:r>
      <w:r w:rsidRPr="000143A5">
        <w:rPr>
          <w:rFonts w:cstheme="minorHAnsi"/>
        </w:rPr>
        <w:t xml:space="preserve"> </w:t>
      </w:r>
      <w:r w:rsidRPr="000143A5">
        <w:rPr>
          <w:rStyle w:val="markedcontent"/>
          <w:rFonts w:cstheme="minorHAnsi"/>
        </w:rPr>
        <w:t>nirmatrelvir/ritonavir (e.g. nausea, vomiting). If such side-effects are experienced, anti-emetics</w:t>
      </w:r>
      <w:r w:rsidRPr="000143A5">
        <w:rPr>
          <w:rFonts w:cstheme="minorHAnsi"/>
        </w:rPr>
        <w:t xml:space="preserve"> </w:t>
      </w:r>
      <w:r w:rsidRPr="000143A5">
        <w:rPr>
          <w:rStyle w:val="markedcontent"/>
          <w:rFonts w:cstheme="minorHAnsi"/>
        </w:rPr>
        <w:t>should be considered that are not contra-indicated. If nirmatrelvir/ritonavir treatment cannot be</w:t>
      </w:r>
      <w:r w:rsidRPr="000143A5">
        <w:rPr>
          <w:rFonts w:cstheme="minorHAnsi"/>
        </w:rPr>
        <w:t xml:space="preserve"> </w:t>
      </w:r>
      <w:r w:rsidRPr="000143A5">
        <w:rPr>
          <w:rStyle w:val="markedcontent"/>
          <w:rFonts w:cstheme="minorHAnsi"/>
        </w:rPr>
        <w:t>tolerated, an alternative treatment can be considered within the options and criteria of this policy.</w:t>
      </w:r>
    </w:p>
    <w:p w14:paraId="707AD2D6" w14:textId="62D40117" w:rsidR="00E73228" w:rsidRDefault="00E73228" w:rsidP="003545ED">
      <w:pPr>
        <w:spacing w:line="0" w:lineRule="atLeast"/>
        <w:rPr>
          <w:rFonts w:asciiTheme="minorHAnsi" w:hAnsiTheme="minorHAnsi" w:cstheme="minorHAnsi"/>
          <w:b/>
          <w:sz w:val="22"/>
          <w:szCs w:val="22"/>
        </w:rPr>
      </w:pPr>
    </w:p>
    <w:p w14:paraId="7A3AAF8F" w14:textId="77777777" w:rsidR="000143A5" w:rsidRPr="000143A5" w:rsidRDefault="000143A5" w:rsidP="003545ED">
      <w:pPr>
        <w:spacing w:line="0" w:lineRule="atLeast"/>
        <w:rPr>
          <w:rFonts w:asciiTheme="minorHAnsi" w:hAnsiTheme="minorHAnsi" w:cstheme="minorHAnsi"/>
          <w:b/>
          <w:sz w:val="22"/>
          <w:szCs w:val="22"/>
        </w:rPr>
      </w:pPr>
    </w:p>
    <w:p w14:paraId="14271F3C" w14:textId="59A21F20" w:rsidR="00531188" w:rsidRPr="000143A5" w:rsidRDefault="00DB788F" w:rsidP="003545ED">
      <w:pPr>
        <w:spacing w:line="0" w:lineRule="atLeast"/>
        <w:rPr>
          <w:rFonts w:asciiTheme="minorHAnsi" w:hAnsiTheme="minorHAnsi" w:cstheme="minorHAnsi"/>
          <w:b/>
          <w:sz w:val="22"/>
          <w:szCs w:val="22"/>
          <w:u w:val="single"/>
        </w:rPr>
      </w:pPr>
      <w:r w:rsidRPr="000143A5">
        <w:rPr>
          <w:rFonts w:asciiTheme="minorHAnsi" w:hAnsiTheme="minorHAnsi" w:cstheme="minorHAnsi"/>
          <w:b/>
          <w:sz w:val="22"/>
          <w:szCs w:val="22"/>
          <w:u w:val="single"/>
        </w:rPr>
        <w:t>Remdesivir</w:t>
      </w:r>
    </w:p>
    <w:p w14:paraId="3B90EEE9" w14:textId="77777777" w:rsidR="00E73228" w:rsidRPr="000143A5" w:rsidRDefault="00E73228" w:rsidP="003545ED">
      <w:pPr>
        <w:spacing w:line="0" w:lineRule="atLeast"/>
        <w:rPr>
          <w:rFonts w:asciiTheme="minorHAnsi" w:hAnsiTheme="minorHAnsi" w:cstheme="minorHAnsi"/>
          <w:b/>
          <w:sz w:val="22"/>
          <w:szCs w:val="22"/>
          <w:u w:val="single"/>
        </w:rPr>
      </w:pPr>
    </w:p>
    <w:p w14:paraId="43D66DA9" w14:textId="2C92B129" w:rsidR="00DB788F" w:rsidRPr="000143A5" w:rsidRDefault="00DB788F" w:rsidP="003545ED">
      <w:pPr>
        <w:spacing w:line="0" w:lineRule="atLeast"/>
        <w:rPr>
          <w:rFonts w:asciiTheme="minorHAnsi" w:hAnsiTheme="minorHAnsi" w:cstheme="minorHAnsi"/>
          <w:sz w:val="22"/>
          <w:szCs w:val="22"/>
        </w:rPr>
      </w:pPr>
      <w:r w:rsidRPr="000143A5">
        <w:rPr>
          <w:rFonts w:asciiTheme="minorHAnsi" w:hAnsiTheme="minorHAnsi" w:cstheme="minorHAnsi"/>
          <w:sz w:val="22"/>
          <w:szCs w:val="22"/>
        </w:rPr>
        <w:t xml:space="preserve">Remdesivir 200mg of remdesivir (day 1 loading dose) and 100mg of remdesivir (days 2 and 3 maintenance doses) should be diluted in either a 250ml or 100ml pre-filled bag of 0.9% sodium chloride solution and infused over a minimum of 30 minutes. </w:t>
      </w:r>
    </w:p>
    <w:p w14:paraId="7B42174A" w14:textId="77777777" w:rsidR="00DB788F" w:rsidRPr="000143A5" w:rsidRDefault="00DB788F" w:rsidP="003545ED">
      <w:pPr>
        <w:spacing w:line="0" w:lineRule="atLeast"/>
        <w:rPr>
          <w:rFonts w:asciiTheme="minorHAnsi" w:hAnsiTheme="minorHAnsi" w:cstheme="minorHAnsi"/>
          <w:b/>
          <w:sz w:val="22"/>
          <w:szCs w:val="22"/>
        </w:rPr>
      </w:pPr>
    </w:p>
    <w:p w14:paraId="57CBD54E" w14:textId="649DC8A4" w:rsidR="003545ED" w:rsidRPr="000143A5" w:rsidRDefault="003545ED" w:rsidP="003545ED">
      <w:pPr>
        <w:spacing w:line="0" w:lineRule="atLeast"/>
        <w:rPr>
          <w:rFonts w:asciiTheme="minorHAnsi" w:hAnsiTheme="minorHAnsi" w:cstheme="minorHAnsi"/>
          <w:b/>
          <w:sz w:val="22"/>
          <w:szCs w:val="22"/>
        </w:rPr>
      </w:pPr>
      <w:r w:rsidRPr="000143A5">
        <w:rPr>
          <w:rFonts w:asciiTheme="minorHAnsi" w:hAnsiTheme="minorHAnsi" w:cstheme="minorHAnsi"/>
          <w:b/>
          <w:sz w:val="22"/>
          <w:szCs w:val="22"/>
        </w:rPr>
        <w:t>Monitoring during administration of remdesivir</w:t>
      </w:r>
    </w:p>
    <w:p w14:paraId="2F708CD7" w14:textId="77777777" w:rsidR="00DB788F" w:rsidRPr="000143A5" w:rsidRDefault="003545ED" w:rsidP="00F20018">
      <w:pPr>
        <w:tabs>
          <w:tab w:val="left" w:pos="1080"/>
        </w:tabs>
        <w:spacing w:line="226" w:lineRule="auto"/>
        <w:ind w:right="366"/>
        <w:rPr>
          <w:rFonts w:asciiTheme="minorHAnsi" w:hAnsiTheme="minorHAnsi" w:cstheme="minorHAnsi"/>
          <w:sz w:val="22"/>
          <w:szCs w:val="22"/>
        </w:rPr>
      </w:pPr>
      <w:r w:rsidRPr="000143A5">
        <w:rPr>
          <w:rFonts w:asciiTheme="minorHAnsi" w:hAnsiTheme="minorHAnsi" w:cstheme="minorHAnsi"/>
          <w:sz w:val="22"/>
          <w:szCs w:val="22"/>
        </w:rPr>
        <w:lastRenderedPageBreak/>
        <w:t>Infusion-related reactions (fever, chills, hypotension, tachycardia, dyspnoea, angioedema, rash, vomiting)</w:t>
      </w:r>
      <w:r w:rsidR="00F20018" w:rsidRPr="000143A5">
        <w:rPr>
          <w:rFonts w:asciiTheme="minorHAnsi" w:hAnsiTheme="minorHAnsi" w:cstheme="minorHAnsi"/>
          <w:sz w:val="22"/>
          <w:szCs w:val="22"/>
        </w:rPr>
        <w:t xml:space="preserve"> can occur with remdesivir</w:t>
      </w:r>
      <w:r w:rsidRPr="000143A5">
        <w:rPr>
          <w:rFonts w:asciiTheme="minorHAnsi" w:hAnsiTheme="minorHAnsi" w:cstheme="minorHAnsi"/>
          <w:sz w:val="22"/>
          <w:szCs w:val="22"/>
        </w:rPr>
        <w:t>. Slower infusion rates, with a maximum infusion time of up to 120 minutes, may prevent these signs and symptoms but if clinically significant hypersensitivity occurs immediately discontinue remdesivir and manage the reaction appropriately.</w:t>
      </w:r>
      <w:r w:rsidR="00F20018" w:rsidRPr="000143A5">
        <w:rPr>
          <w:rFonts w:asciiTheme="minorHAnsi" w:hAnsiTheme="minorHAnsi" w:cstheme="minorHAnsi"/>
          <w:sz w:val="22"/>
          <w:szCs w:val="22"/>
        </w:rPr>
        <w:t xml:space="preserve"> </w:t>
      </w:r>
    </w:p>
    <w:p w14:paraId="33E6516B" w14:textId="7E44C618" w:rsidR="008461AD" w:rsidRPr="000143A5" w:rsidRDefault="00F20018" w:rsidP="00F20018">
      <w:pPr>
        <w:tabs>
          <w:tab w:val="left" w:pos="1080"/>
        </w:tabs>
        <w:spacing w:line="226" w:lineRule="auto"/>
        <w:ind w:right="366"/>
        <w:rPr>
          <w:rFonts w:asciiTheme="minorHAnsi" w:hAnsiTheme="minorHAnsi" w:cstheme="minorHAnsi"/>
          <w:sz w:val="22"/>
          <w:szCs w:val="22"/>
        </w:rPr>
      </w:pPr>
      <w:r w:rsidRPr="000143A5">
        <w:rPr>
          <w:rFonts w:asciiTheme="minorHAnsi" w:hAnsiTheme="minorHAnsi" w:cstheme="minorHAnsi"/>
          <w:b/>
          <w:sz w:val="22"/>
          <w:szCs w:val="22"/>
        </w:rPr>
        <w:t>The patient should be monitored closely during infusion and for one hour after the infusion</w:t>
      </w:r>
      <w:r w:rsidRPr="000143A5">
        <w:rPr>
          <w:rFonts w:asciiTheme="minorHAnsi" w:hAnsiTheme="minorHAnsi" w:cstheme="minorHAnsi"/>
          <w:sz w:val="22"/>
          <w:szCs w:val="22"/>
        </w:rPr>
        <w:t xml:space="preserve"> for signs and symptoms of hypersensitivity, including anaphylaxis.</w:t>
      </w:r>
    </w:p>
    <w:p w14:paraId="7368123B" w14:textId="045E932E" w:rsidR="003545ED" w:rsidRPr="000143A5" w:rsidRDefault="001125B7" w:rsidP="003545ED">
      <w:pPr>
        <w:pStyle w:val="ListParagraph"/>
        <w:spacing w:before="120" w:after="0" w:line="240" w:lineRule="auto"/>
        <w:ind w:left="0"/>
        <w:rPr>
          <w:rFonts w:cstheme="minorHAnsi"/>
          <w:b/>
        </w:rPr>
      </w:pPr>
      <w:r w:rsidRPr="000143A5">
        <w:rPr>
          <w:rFonts w:cstheme="minorHAnsi"/>
          <w:b/>
        </w:rPr>
        <w:t>Continued</w:t>
      </w:r>
      <w:r w:rsidR="003545ED" w:rsidRPr="000143A5">
        <w:rPr>
          <w:rFonts w:cstheme="minorHAnsi"/>
          <w:b/>
        </w:rPr>
        <w:t xml:space="preserve"> daily monitoring for Remdesivir</w:t>
      </w:r>
    </w:p>
    <w:p w14:paraId="0E916C50" w14:textId="58B88740" w:rsidR="003545ED" w:rsidRPr="000143A5" w:rsidRDefault="003545ED" w:rsidP="003545ED">
      <w:pPr>
        <w:spacing w:line="0" w:lineRule="atLeast"/>
        <w:rPr>
          <w:rFonts w:asciiTheme="minorHAnsi" w:hAnsiTheme="minorHAnsi" w:cstheme="minorHAnsi"/>
          <w:sz w:val="22"/>
          <w:szCs w:val="22"/>
        </w:rPr>
      </w:pPr>
      <w:r w:rsidRPr="000143A5">
        <w:rPr>
          <w:rFonts w:asciiTheme="minorHAnsi" w:hAnsiTheme="minorHAnsi" w:cstheme="minorHAnsi"/>
          <w:sz w:val="22"/>
          <w:szCs w:val="22"/>
        </w:rPr>
        <w:t xml:space="preserve">Renal and hepatic function should be monitored </w:t>
      </w:r>
      <w:r w:rsidRPr="000143A5">
        <w:rPr>
          <w:rFonts w:asciiTheme="minorHAnsi" w:hAnsiTheme="minorHAnsi" w:cstheme="minorHAnsi"/>
          <w:b/>
          <w:sz w:val="22"/>
          <w:szCs w:val="22"/>
        </w:rPr>
        <w:t>daily throughout treatment.</w:t>
      </w:r>
    </w:p>
    <w:p w14:paraId="7BF504D0" w14:textId="77777777" w:rsidR="003545ED" w:rsidRPr="000143A5" w:rsidRDefault="003545ED" w:rsidP="003545ED">
      <w:pPr>
        <w:spacing w:line="61" w:lineRule="exact"/>
        <w:rPr>
          <w:rFonts w:asciiTheme="minorHAnsi" w:hAnsiTheme="minorHAnsi" w:cstheme="minorHAnsi"/>
          <w:sz w:val="22"/>
          <w:szCs w:val="22"/>
        </w:rPr>
      </w:pPr>
    </w:p>
    <w:p w14:paraId="01C691E8" w14:textId="77777777" w:rsidR="003545ED" w:rsidRPr="000143A5" w:rsidRDefault="003545ED" w:rsidP="003545ED">
      <w:pPr>
        <w:pStyle w:val="ListParagraph"/>
        <w:numPr>
          <w:ilvl w:val="0"/>
          <w:numId w:val="24"/>
        </w:numPr>
        <w:tabs>
          <w:tab w:val="left" w:pos="1080"/>
        </w:tabs>
        <w:spacing w:after="0" w:line="221" w:lineRule="auto"/>
        <w:ind w:right="566"/>
        <w:contextualSpacing w:val="0"/>
        <w:rPr>
          <w:rFonts w:eastAsia="Symbol" w:cstheme="minorHAnsi"/>
        </w:rPr>
      </w:pPr>
      <w:r w:rsidRPr="000143A5">
        <w:rPr>
          <w:rFonts w:cstheme="minorHAnsi"/>
        </w:rPr>
        <w:t>Discontinue remdesivir if ALT ≥ 5 times upper limit of normal or ALT elevation with signs or symptoms of liver inflammation or increasing bilirubin, alkaline phosphatase or INR.</w:t>
      </w:r>
    </w:p>
    <w:p w14:paraId="39D82BF3" w14:textId="77777777" w:rsidR="003545ED" w:rsidRPr="000143A5" w:rsidRDefault="003545ED" w:rsidP="003545ED">
      <w:pPr>
        <w:pStyle w:val="ListParagraph"/>
        <w:numPr>
          <w:ilvl w:val="0"/>
          <w:numId w:val="24"/>
        </w:numPr>
        <w:spacing w:after="0" w:line="2" w:lineRule="exact"/>
        <w:contextualSpacing w:val="0"/>
        <w:rPr>
          <w:rFonts w:eastAsia="Symbol" w:cstheme="minorHAnsi"/>
        </w:rPr>
      </w:pPr>
    </w:p>
    <w:p w14:paraId="351AEBBD" w14:textId="77777777" w:rsidR="003545ED" w:rsidRPr="000143A5" w:rsidRDefault="003545ED" w:rsidP="003545ED">
      <w:pPr>
        <w:pStyle w:val="ListParagraph"/>
        <w:numPr>
          <w:ilvl w:val="0"/>
          <w:numId w:val="24"/>
        </w:numPr>
        <w:tabs>
          <w:tab w:val="left" w:pos="1080"/>
        </w:tabs>
        <w:spacing w:after="0" w:line="0" w:lineRule="atLeast"/>
        <w:contextualSpacing w:val="0"/>
        <w:rPr>
          <w:rFonts w:eastAsia="Symbol" w:cstheme="minorHAnsi"/>
        </w:rPr>
      </w:pPr>
      <w:r w:rsidRPr="000143A5">
        <w:rPr>
          <w:rFonts w:cstheme="minorHAnsi"/>
        </w:rPr>
        <w:t>Discontinue remdesivir if CrCl &lt;30mL/min or renal replacement therapy required.</w:t>
      </w:r>
    </w:p>
    <w:p w14:paraId="64D26FB3" w14:textId="77777777" w:rsidR="003545ED" w:rsidRPr="000143A5" w:rsidRDefault="003545ED" w:rsidP="006B3CF8">
      <w:pPr>
        <w:pStyle w:val="ListParagraph"/>
        <w:spacing w:before="120" w:after="0" w:line="240" w:lineRule="auto"/>
        <w:ind w:left="0"/>
        <w:rPr>
          <w:rFonts w:cstheme="minorHAnsi"/>
        </w:rPr>
      </w:pPr>
    </w:p>
    <w:p w14:paraId="1680B44C" w14:textId="77777777" w:rsidR="00E73228" w:rsidRPr="000143A5" w:rsidRDefault="00E73228" w:rsidP="00963B7A">
      <w:pPr>
        <w:pStyle w:val="ListParagraph"/>
        <w:spacing w:before="120" w:line="240" w:lineRule="auto"/>
        <w:ind w:left="0"/>
        <w:rPr>
          <w:rStyle w:val="markedcontent"/>
          <w:rFonts w:cstheme="minorHAnsi"/>
          <w:b/>
        </w:rPr>
      </w:pPr>
    </w:p>
    <w:p w14:paraId="7D6AE145" w14:textId="77777777" w:rsidR="000143A5" w:rsidRPr="000143A5" w:rsidRDefault="000143A5" w:rsidP="000143A5">
      <w:pPr>
        <w:spacing w:before="120"/>
        <w:rPr>
          <w:rFonts w:asciiTheme="minorHAnsi" w:hAnsiTheme="minorHAnsi" w:cstheme="minorHAnsi"/>
          <w:b/>
          <w:sz w:val="22"/>
          <w:szCs w:val="22"/>
          <w:u w:val="single"/>
        </w:rPr>
      </w:pPr>
      <w:r w:rsidRPr="000143A5">
        <w:rPr>
          <w:rFonts w:asciiTheme="minorHAnsi" w:hAnsiTheme="minorHAnsi" w:cstheme="minorHAnsi"/>
          <w:b/>
          <w:sz w:val="22"/>
          <w:szCs w:val="22"/>
          <w:u w:val="single"/>
        </w:rPr>
        <w:t>Sotrovimab</w:t>
      </w:r>
    </w:p>
    <w:p w14:paraId="085109C8" w14:textId="77777777" w:rsidR="000143A5" w:rsidRPr="000143A5" w:rsidRDefault="000143A5" w:rsidP="000143A5">
      <w:pPr>
        <w:pStyle w:val="ListParagraph"/>
        <w:numPr>
          <w:ilvl w:val="0"/>
          <w:numId w:val="1"/>
        </w:numPr>
        <w:spacing w:after="0" w:line="240" w:lineRule="auto"/>
        <w:rPr>
          <w:rFonts w:cstheme="minorHAnsi"/>
        </w:rPr>
      </w:pPr>
      <w:r w:rsidRPr="000143A5">
        <w:rPr>
          <w:rFonts w:cstheme="minorHAnsi"/>
        </w:rPr>
        <w:t>Two qualified members of staff are needed to prepare this infusion.</w:t>
      </w:r>
    </w:p>
    <w:p w14:paraId="27F0FEEC" w14:textId="77777777" w:rsidR="000143A5" w:rsidRPr="000143A5" w:rsidRDefault="000143A5" w:rsidP="000143A5">
      <w:pPr>
        <w:pStyle w:val="ListParagraph"/>
        <w:numPr>
          <w:ilvl w:val="0"/>
          <w:numId w:val="1"/>
        </w:numPr>
        <w:spacing w:before="120" w:after="0" w:line="240" w:lineRule="auto"/>
        <w:rPr>
          <w:rFonts w:cstheme="minorHAnsi"/>
        </w:rPr>
      </w:pPr>
      <w:r w:rsidRPr="000143A5">
        <w:rPr>
          <w:rFonts w:cstheme="minorHAnsi"/>
        </w:rPr>
        <w:t xml:space="preserve">To prepare </w:t>
      </w:r>
    </w:p>
    <w:p w14:paraId="63705F3A" w14:textId="77777777" w:rsidR="000143A5" w:rsidRPr="000143A5" w:rsidRDefault="000143A5" w:rsidP="000143A5">
      <w:pPr>
        <w:pStyle w:val="ListParagraph"/>
        <w:numPr>
          <w:ilvl w:val="1"/>
          <w:numId w:val="1"/>
        </w:numPr>
        <w:spacing w:before="120" w:after="0" w:line="240" w:lineRule="auto"/>
        <w:rPr>
          <w:rFonts w:cstheme="minorHAnsi"/>
        </w:rPr>
      </w:pPr>
      <w:r w:rsidRPr="000143A5">
        <w:rPr>
          <w:rFonts w:cstheme="minorHAnsi"/>
        </w:rPr>
        <w:t>Remove the vial from the fridge and check it is free from particulate matter. Allow the vial to reach room temperature, protected from light, prior to dilution (about 15 minutes). Gently swirl the vial several times before use; do not shake as air bubbles may form.</w:t>
      </w:r>
    </w:p>
    <w:p w14:paraId="69021673" w14:textId="77777777" w:rsidR="000143A5" w:rsidRPr="000143A5" w:rsidRDefault="000143A5" w:rsidP="000143A5">
      <w:pPr>
        <w:pStyle w:val="ListParagraph"/>
        <w:numPr>
          <w:ilvl w:val="1"/>
          <w:numId w:val="1"/>
        </w:numPr>
        <w:spacing w:before="120" w:after="0" w:line="240" w:lineRule="auto"/>
        <w:rPr>
          <w:rFonts w:cstheme="minorHAnsi"/>
        </w:rPr>
      </w:pPr>
      <w:r w:rsidRPr="000143A5">
        <w:rPr>
          <w:rFonts w:cstheme="minorHAnsi"/>
        </w:rPr>
        <w:t>Add 8mls (500mg) of sotrovimab (62.5mg/ml) to a 100ml pre-filled infusion bag containing 0.9% sodium chloride.</w:t>
      </w:r>
    </w:p>
    <w:p w14:paraId="10242694" w14:textId="77777777" w:rsidR="000143A5" w:rsidRPr="000143A5" w:rsidRDefault="000143A5" w:rsidP="000143A5">
      <w:pPr>
        <w:pStyle w:val="ListParagraph"/>
        <w:numPr>
          <w:ilvl w:val="1"/>
          <w:numId w:val="1"/>
        </w:numPr>
        <w:spacing w:before="120" w:after="0" w:line="240" w:lineRule="auto"/>
        <w:rPr>
          <w:rFonts w:cstheme="minorHAnsi"/>
        </w:rPr>
      </w:pPr>
      <w:r w:rsidRPr="000143A5">
        <w:rPr>
          <w:rFonts w:cstheme="minorHAnsi"/>
        </w:rPr>
        <w:t>Gently rock the bag back and forth 3 to 5 times. Do NOT invert the bag.</w:t>
      </w:r>
    </w:p>
    <w:p w14:paraId="55E8A55A" w14:textId="77777777" w:rsidR="000143A5" w:rsidRPr="000143A5" w:rsidRDefault="000143A5" w:rsidP="000143A5">
      <w:pPr>
        <w:pStyle w:val="ListParagraph"/>
        <w:numPr>
          <w:ilvl w:val="0"/>
          <w:numId w:val="1"/>
        </w:numPr>
        <w:spacing w:before="120" w:after="0" w:line="240" w:lineRule="auto"/>
        <w:rPr>
          <w:rFonts w:cstheme="minorHAnsi"/>
        </w:rPr>
      </w:pPr>
      <w:r w:rsidRPr="000143A5">
        <w:rPr>
          <w:rStyle w:val="markedcontent"/>
          <w:rFonts w:cstheme="minorHAnsi"/>
        </w:rPr>
        <w:t xml:space="preserve">Sotrovimab </w:t>
      </w:r>
      <w:r w:rsidRPr="000143A5">
        <w:rPr>
          <w:rFonts w:cstheme="minorHAnsi"/>
        </w:rPr>
        <w:t xml:space="preserve">should be </w:t>
      </w:r>
      <w:r w:rsidRPr="000143A5">
        <w:rPr>
          <w:rFonts w:cstheme="minorHAnsi"/>
          <w:b/>
        </w:rPr>
        <w:t xml:space="preserve">administered over 30 minutes </w:t>
      </w:r>
      <w:r w:rsidRPr="000143A5">
        <w:rPr>
          <w:rFonts w:cstheme="minorHAnsi"/>
        </w:rPr>
        <w:t>using a filter which will be supplied by pharmacy with the vials.</w:t>
      </w:r>
    </w:p>
    <w:p w14:paraId="591C4044" w14:textId="77777777" w:rsidR="000143A5" w:rsidRPr="000143A5" w:rsidRDefault="000143A5" w:rsidP="000143A5">
      <w:pPr>
        <w:pStyle w:val="ListParagraph"/>
        <w:numPr>
          <w:ilvl w:val="1"/>
          <w:numId w:val="1"/>
        </w:numPr>
        <w:rPr>
          <w:rFonts w:cstheme="minorHAnsi"/>
        </w:rPr>
      </w:pPr>
      <w:r w:rsidRPr="000143A5">
        <w:rPr>
          <w:rFonts w:cstheme="minorHAnsi"/>
          <w:b/>
        </w:rPr>
        <w:t>For RSCH/PRH pharmacy</w:t>
      </w:r>
      <w:r w:rsidRPr="000143A5">
        <w:rPr>
          <w:rFonts w:cstheme="minorHAnsi"/>
        </w:rPr>
        <w:t>:  the filters are profiled on WellSky as “Paclitaxel Pump Admin Set” or “Infliximab Filter 0.2 microns”.</w:t>
      </w:r>
    </w:p>
    <w:p w14:paraId="2BDA50FD" w14:textId="77777777" w:rsidR="000143A5" w:rsidRPr="000143A5" w:rsidRDefault="000143A5" w:rsidP="000143A5">
      <w:pPr>
        <w:pStyle w:val="ListParagraph"/>
        <w:numPr>
          <w:ilvl w:val="1"/>
          <w:numId w:val="1"/>
        </w:numPr>
        <w:rPr>
          <w:rFonts w:cstheme="minorHAnsi"/>
        </w:rPr>
      </w:pPr>
      <w:r w:rsidRPr="000143A5">
        <w:rPr>
          <w:rFonts w:cstheme="minorHAnsi"/>
          <w:b/>
        </w:rPr>
        <w:t>For Worthing/SRH pharmacy</w:t>
      </w:r>
      <w:r w:rsidRPr="000143A5">
        <w:rPr>
          <w:rFonts w:cstheme="minorHAnsi"/>
        </w:rPr>
        <w:t xml:space="preserve">: suitable filters are available on the wards (COVID-red wards and gastroenterology). </w:t>
      </w:r>
    </w:p>
    <w:p w14:paraId="7161BD0B" w14:textId="77777777" w:rsidR="000143A5" w:rsidRPr="000143A5" w:rsidRDefault="000143A5" w:rsidP="000143A5">
      <w:pPr>
        <w:pStyle w:val="ListParagraph"/>
        <w:numPr>
          <w:ilvl w:val="0"/>
          <w:numId w:val="1"/>
        </w:numPr>
        <w:rPr>
          <w:rFonts w:cstheme="minorHAnsi"/>
        </w:rPr>
      </w:pPr>
      <w:r w:rsidRPr="000143A5">
        <w:rPr>
          <w:rFonts w:cstheme="minorHAnsi"/>
        </w:rPr>
        <w:t>Sotrovimab should not be infused concomitantly in the same intravenous line with other medication.</w:t>
      </w:r>
    </w:p>
    <w:p w14:paraId="4D9E459B" w14:textId="77777777" w:rsidR="000143A5" w:rsidRPr="000143A5" w:rsidRDefault="000143A5" w:rsidP="000143A5">
      <w:pPr>
        <w:pStyle w:val="ListParagraph"/>
        <w:numPr>
          <w:ilvl w:val="0"/>
          <w:numId w:val="1"/>
        </w:numPr>
        <w:spacing w:before="120" w:after="0" w:line="240" w:lineRule="auto"/>
        <w:rPr>
          <w:rFonts w:cstheme="minorHAnsi"/>
        </w:rPr>
      </w:pPr>
      <w:r w:rsidRPr="000143A5">
        <w:rPr>
          <w:rFonts w:cstheme="minorHAnsi"/>
        </w:rPr>
        <w:t xml:space="preserve">Sotrovimab </w:t>
      </w:r>
      <w:r w:rsidRPr="000143A5">
        <w:rPr>
          <w:rFonts w:cstheme="minorHAnsi"/>
          <w:b/>
        </w:rPr>
        <w:t xml:space="preserve">should not be prepared or administered by pregnant members of staff or staff members actively trying to conceive. </w:t>
      </w:r>
      <w:r w:rsidRPr="000143A5">
        <w:rPr>
          <w:rFonts w:cstheme="minorHAnsi"/>
        </w:rPr>
        <w:t>The second check can be completed by a pregnant member of staff.</w:t>
      </w:r>
      <w:r w:rsidRPr="000143A5">
        <w:rPr>
          <w:rFonts w:cstheme="minorHAnsi"/>
          <w:b/>
        </w:rPr>
        <w:t xml:space="preserve"> </w:t>
      </w:r>
      <w:r w:rsidRPr="000143A5">
        <w:rPr>
          <w:rFonts w:cstheme="minorHAnsi"/>
        </w:rPr>
        <w:t xml:space="preserve"> A disposable apron, gloves, FFP3 mask and eye protection should be worn by both members of staff when preparing and administering.</w:t>
      </w:r>
    </w:p>
    <w:p w14:paraId="4BE139D4" w14:textId="77777777" w:rsidR="000143A5" w:rsidRPr="000143A5" w:rsidRDefault="000143A5" w:rsidP="000143A5">
      <w:pPr>
        <w:pStyle w:val="ListParagraph"/>
        <w:numPr>
          <w:ilvl w:val="0"/>
          <w:numId w:val="1"/>
        </w:numPr>
        <w:spacing w:before="120" w:after="0" w:line="240" w:lineRule="auto"/>
        <w:rPr>
          <w:rFonts w:cstheme="minorHAnsi"/>
        </w:rPr>
      </w:pPr>
      <w:r w:rsidRPr="000143A5">
        <w:rPr>
          <w:rFonts w:cstheme="minorHAnsi"/>
        </w:rPr>
        <w:t>In order to improve the traceability of biological medicines, the batch number should be recorded on EPMA or the patients drug chart.</w:t>
      </w:r>
    </w:p>
    <w:p w14:paraId="1A7450C9" w14:textId="77777777" w:rsidR="000143A5" w:rsidRPr="000143A5" w:rsidRDefault="000143A5" w:rsidP="000143A5">
      <w:pPr>
        <w:spacing w:before="120"/>
        <w:rPr>
          <w:rFonts w:asciiTheme="minorHAnsi" w:hAnsiTheme="minorHAnsi" w:cstheme="minorHAnsi"/>
          <w:b/>
          <w:sz w:val="22"/>
          <w:szCs w:val="22"/>
        </w:rPr>
      </w:pPr>
    </w:p>
    <w:p w14:paraId="7B4BEF88" w14:textId="77777777" w:rsidR="000143A5" w:rsidRPr="000143A5" w:rsidRDefault="000143A5" w:rsidP="000143A5">
      <w:pPr>
        <w:contextualSpacing/>
        <w:rPr>
          <w:rFonts w:asciiTheme="minorHAnsi" w:hAnsiTheme="minorHAnsi" w:cstheme="minorHAnsi"/>
          <w:b/>
          <w:sz w:val="22"/>
          <w:szCs w:val="22"/>
        </w:rPr>
      </w:pPr>
      <w:r w:rsidRPr="000143A5">
        <w:rPr>
          <w:rFonts w:asciiTheme="minorHAnsi" w:hAnsiTheme="minorHAnsi" w:cstheme="minorHAnsi"/>
          <w:b/>
          <w:sz w:val="22"/>
          <w:szCs w:val="22"/>
        </w:rPr>
        <w:t>Monitoring during administration of</w:t>
      </w:r>
      <w:r w:rsidRPr="000143A5">
        <w:rPr>
          <w:rStyle w:val="markedcontent"/>
          <w:rFonts w:asciiTheme="minorHAnsi" w:hAnsiTheme="minorHAnsi" w:cstheme="minorHAnsi"/>
          <w:b/>
          <w:sz w:val="22"/>
          <w:szCs w:val="22"/>
        </w:rPr>
        <w:t xml:space="preserve"> </w:t>
      </w:r>
      <w:r w:rsidRPr="000143A5">
        <w:rPr>
          <w:rFonts w:asciiTheme="minorHAnsi" w:hAnsiTheme="minorHAnsi" w:cstheme="minorHAnsi"/>
          <w:b/>
          <w:sz w:val="22"/>
          <w:szCs w:val="22"/>
        </w:rPr>
        <w:t>sotrovimab</w:t>
      </w:r>
    </w:p>
    <w:p w14:paraId="2B311D4F" w14:textId="77777777" w:rsidR="000143A5" w:rsidRPr="000143A5" w:rsidRDefault="000143A5" w:rsidP="000143A5">
      <w:pPr>
        <w:pStyle w:val="ListParagraph"/>
        <w:spacing w:after="0" w:line="240" w:lineRule="auto"/>
        <w:ind w:left="0"/>
        <w:rPr>
          <w:rFonts w:cstheme="minorHAnsi"/>
        </w:rPr>
      </w:pPr>
      <w:r w:rsidRPr="000143A5">
        <w:rPr>
          <w:rFonts w:cstheme="minorHAnsi"/>
        </w:rPr>
        <w:t xml:space="preserve">Serious hypersensitivity reactions including anaphylaxis have been reported with infusion of sotrovimab. </w:t>
      </w:r>
      <w:r w:rsidRPr="000143A5">
        <w:rPr>
          <w:rFonts w:cstheme="minorHAnsi"/>
          <w:b/>
        </w:rPr>
        <w:t>The patient should be monitored closely during infusion and for one hour after the infusion</w:t>
      </w:r>
      <w:r w:rsidRPr="000143A5">
        <w:rPr>
          <w:rFonts w:cstheme="minorHAnsi"/>
        </w:rPr>
        <w:t xml:space="preserve"> for signs and symptoms of hypersensitivity, including anaphylaxis. If signs or symptoms of a clinically significant hypersensitivity reaction or anaphylaxis occur, immediately discontinue administration and initiate appropriate medications and/or supportive care.</w:t>
      </w:r>
    </w:p>
    <w:p w14:paraId="163E1E91" w14:textId="77777777" w:rsidR="000143A5" w:rsidRPr="000143A5" w:rsidRDefault="000143A5" w:rsidP="000143A5">
      <w:pPr>
        <w:pStyle w:val="ListParagraph"/>
        <w:spacing w:before="120" w:after="0" w:line="240" w:lineRule="auto"/>
        <w:ind w:left="0"/>
        <w:rPr>
          <w:rFonts w:cstheme="minorHAnsi"/>
        </w:rPr>
      </w:pPr>
    </w:p>
    <w:p w14:paraId="6827635C" w14:textId="77777777" w:rsidR="000143A5" w:rsidRPr="000143A5" w:rsidRDefault="000143A5" w:rsidP="000143A5">
      <w:pPr>
        <w:pStyle w:val="ListParagraph"/>
        <w:spacing w:before="120" w:after="0" w:line="240" w:lineRule="auto"/>
        <w:ind w:left="0"/>
        <w:rPr>
          <w:rFonts w:cstheme="minorHAnsi"/>
        </w:rPr>
      </w:pPr>
      <w:r w:rsidRPr="000143A5">
        <w:rPr>
          <w:rFonts w:cstheme="minorHAnsi"/>
        </w:rPr>
        <w:lastRenderedPageBreak/>
        <w:t>If an IRR (Infusion-related reaction) occurs, consider interrupting, slowing or stopping the infusion (if severe) and administer appropriate medications and/or supportive care. IRRs observed with IV administration of casirivimab and imdevimab include nausea, chills, dizziness (or syncope), rash, urticaria and flushing. IRRs observed in clinical studies were mostly mild to moderate in severity and were typically observed during or within 24 hours of infusion.</w:t>
      </w:r>
    </w:p>
    <w:p w14:paraId="28A3C5D0" w14:textId="1F3261C3" w:rsidR="00E73228" w:rsidRDefault="00E73228" w:rsidP="00F43696">
      <w:pPr>
        <w:pStyle w:val="ListParagraph"/>
        <w:spacing w:before="120" w:line="240" w:lineRule="auto"/>
        <w:ind w:left="0"/>
        <w:rPr>
          <w:rStyle w:val="markedcontent"/>
          <w:rFonts w:cstheme="minorHAnsi"/>
          <w:b/>
        </w:rPr>
      </w:pPr>
    </w:p>
    <w:p w14:paraId="6ADD3454" w14:textId="77777777" w:rsidR="000143A5" w:rsidRPr="000143A5" w:rsidRDefault="000143A5" w:rsidP="00F43696">
      <w:pPr>
        <w:pStyle w:val="ListParagraph"/>
        <w:spacing w:before="120" w:line="240" w:lineRule="auto"/>
        <w:ind w:left="0"/>
        <w:rPr>
          <w:rStyle w:val="markedcontent"/>
          <w:rFonts w:cstheme="minorHAnsi"/>
          <w:b/>
        </w:rPr>
      </w:pPr>
    </w:p>
    <w:p w14:paraId="57501A1A" w14:textId="413D7B0E" w:rsidR="00E73228" w:rsidRPr="000143A5" w:rsidRDefault="00E73228" w:rsidP="00F43696">
      <w:pPr>
        <w:pStyle w:val="ListParagraph"/>
        <w:spacing w:before="120" w:line="240" w:lineRule="auto"/>
        <w:ind w:left="0"/>
        <w:rPr>
          <w:rStyle w:val="markedcontent"/>
          <w:rFonts w:cstheme="minorHAnsi"/>
          <w:b/>
        </w:rPr>
      </w:pPr>
      <w:r w:rsidRPr="000143A5">
        <w:rPr>
          <w:rStyle w:val="markedcontent"/>
          <w:rFonts w:cstheme="minorHAnsi"/>
          <w:b/>
        </w:rPr>
        <w:t>Additional Surveillance required by UKHSA</w:t>
      </w:r>
    </w:p>
    <w:p w14:paraId="5C741B4A" w14:textId="2CBDEC87" w:rsidR="00E73228" w:rsidRPr="000143A5" w:rsidRDefault="00E73228" w:rsidP="00F43696">
      <w:pPr>
        <w:pStyle w:val="ListParagraph"/>
        <w:spacing w:before="120" w:line="240" w:lineRule="auto"/>
        <w:ind w:left="0"/>
        <w:rPr>
          <w:rStyle w:val="markedcontent"/>
          <w:rFonts w:cstheme="minorHAnsi"/>
        </w:rPr>
      </w:pPr>
    </w:p>
    <w:p w14:paraId="0D27BCBB" w14:textId="235B4A44" w:rsidR="00E73228" w:rsidRPr="000143A5" w:rsidRDefault="00E73228" w:rsidP="00F43696">
      <w:pPr>
        <w:pStyle w:val="ListParagraph"/>
        <w:spacing w:before="120" w:line="240" w:lineRule="auto"/>
        <w:ind w:left="0"/>
        <w:rPr>
          <w:rFonts w:cstheme="minorHAnsi"/>
        </w:rPr>
      </w:pPr>
      <w:r w:rsidRPr="000143A5">
        <w:rPr>
          <w:rStyle w:val="markedcontent"/>
          <w:rFonts w:cstheme="minorHAnsi"/>
        </w:rPr>
        <w:t xml:space="preserve">All patients treated with </w:t>
      </w:r>
      <w:r w:rsidRPr="000143A5">
        <w:rPr>
          <w:rFonts w:cstheme="minorHAnsi"/>
        </w:rPr>
        <w:t>PF-07321332 (nirmatrelvir) plus ritonavir (Paxlovid®), remdesivir or sotrovimab will need additional PCRs for genomic surveillance. These will be sent to the UKHSA for sequencing, and it will need to highlight that these samples are from individuals prioritised for treatment.</w:t>
      </w:r>
    </w:p>
    <w:p w14:paraId="0B946EB7" w14:textId="7D2FF6D6" w:rsidR="00E73228" w:rsidRPr="000143A5" w:rsidRDefault="00E73228" w:rsidP="00E73228">
      <w:pPr>
        <w:pStyle w:val="ListParagraph"/>
        <w:numPr>
          <w:ilvl w:val="0"/>
          <w:numId w:val="36"/>
        </w:numPr>
        <w:spacing w:before="120" w:line="240" w:lineRule="auto"/>
        <w:rPr>
          <w:rStyle w:val="markedcontent"/>
          <w:rFonts w:cstheme="minorHAnsi"/>
        </w:rPr>
      </w:pPr>
      <w:r w:rsidRPr="000143A5">
        <w:rPr>
          <w:rStyle w:val="markedcontent"/>
          <w:rFonts w:cstheme="minorHAnsi"/>
        </w:rPr>
        <w:t xml:space="preserve">Pre-treatment PCR </w:t>
      </w:r>
    </w:p>
    <w:p w14:paraId="0EE11D3A" w14:textId="33612D43" w:rsidR="00E73228" w:rsidRPr="000143A5" w:rsidRDefault="00E73228" w:rsidP="00E73228">
      <w:pPr>
        <w:pStyle w:val="ListParagraph"/>
        <w:numPr>
          <w:ilvl w:val="0"/>
          <w:numId w:val="36"/>
        </w:numPr>
        <w:spacing w:before="120" w:line="240" w:lineRule="auto"/>
        <w:rPr>
          <w:rStyle w:val="markedcontent"/>
          <w:rFonts w:cstheme="minorHAnsi"/>
        </w:rPr>
      </w:pPr>
      <w:r w:rsidRPr="000143A5">
        <w:rPr>
          <w:rStyle w:val="markedcontent"/>
          <w:rFonts w:cstheme="minorHAnsi"/>
        </w:rPr>
        <w:t>Day 5 after the start of treatment (or on discharge if before day 5)</w:t>
      </w:r>
    </w:p>
    <w:p w14:paraId="32121FCF" w14:textId="65DE594B" w:rsidR="00E73228" w:rsidRPr="000143A5" w:rsidRDefault="00E73228" w:rsidP="00E73228">
      <w:pPr>
        <w:pStyle w:val="ListParagraph"/>
        <w:numPr>
          <w:ilvl w:val="0"/>
          <w:numId w:val="36"/>
        </w:numPr>
        <w:spacing w:before="120" w:line="240" w:lineRule="auto"/>
        <w:rPr>
          <w:rStyle w:val="markedcontent"/>
          <w:rFonts w:cstheme="minorHAnsi"/>
        </w:rPr>
      </w:pPr>
      <w:r w:rsidRPr="000143A5">
        <w:rPr>
          <w:rStyle w:val="markedcontent"/>
          <w:rFonts w:cstheme="minorHAnsi"/>
        </w:rPr>
        <w:t>Day 14 for patients in high risk groups (Appendix 1) if they remain an inpatient</w:t>
      </w:r>
    </w:p>
    <w:p w14:paraId="1E151FB8" w14:textId="3F29811E" w:rsidR="00F20018" w:rsidRPr="000143A5" w:rsidRDefault="00F20018" w:rsidP="00F43696">
      <w:pPr>
        <w:pStyle w:val="ListParagraph"/>
        <w:spacing w:before="120" w:line="240" w:lineRule="auto"/>
        <w:ind w:left="0"/>
        <w:rPr>
          <w:rFonts w:cstheme="minorHAnsi"/>
        </w:rPr>
      </w:pPr>
      <w:r w:rsidRPr="000143A5">
        <w:rPr>
          <w:rFonts w:cstheme="minorHAnsi"/>
        </w:rPr>
        <w:br/>
      </w:r>
    </w:p>
    <w:p w14:paraId="364B39DC" w14:textId="77777777" w:rsidR="00E73228" w:rsidRPr="000143A5" w:rsidRDefault="00E73228" w:rsidP="00F43696">
      <w:pPr>
        <w:pStyle w:val="ListParagraph"/>
        <w:spacing w:before="120" w:line="240" w:lineRule="auto"/>
        <w:ind w:left="0"/>
        <w:rPr>
          <w:rFonts w:cstheme="minorHAnsi"/>
        </w:rPr>
      </w:pPr>
    </w:p>
    <w:p w14:paraId="7EDBE6EF" w14:textId="77777777" w:rsidR="00E5375B" w:rsidRPr="000143A5" w:rsidRDefault="00D004FA" w:rsidP="006B3CF8">
      <w:pPr>
        <w:spacing w:before="120"/>
        <w:rPr>
          <w:rFonts w:asciiTheme="minorHAnsi" w:hAnsiTheme="minorHAnsi" w:cstheme="minorHAnsi"/>
          <w:b/>
          <w:sz w:val="22"/>
          <w:szCs w:val="22"/>
        </w:rPr>
      </w:pPr>
      <w:r w:rsidRPr="000143A5">
        <w:rPr>
          <w:rFonts w:asciiTheme="minorHAnsi" w:hAnsiTheme="minorHAnsi" w:cstheme="minorHAnsi"/>
          <w:b/>
          <w:sz w:val="22"/>
          <w:szCs w:val="22"/>
        </w:rPr>
        <w:t>Safety reporting</w:t>
      </w:r>
    </w:p>
    <w:p w14:paraId="52854B5F" w14:textId="21A3229B" w:rsidR="00F67C40" w:rsidRPr="000143A5" w:rsidRDefault="006B6EFE" w:rsidP="00F67C40">
      <w:pPr>
        <w:spacing w:before="120" w:after="240"/>
        <w:rPr>
          <w:rStyle w:val="markedcontent"/>
          <w:rFonts w:asciiTheme="minorHAnsi" w:hAnsiTheme="minorHAnsi" w:cstheme="minorHAnsi"/>
          <w:sz w:val="22"/>
          <w:szCs w:val="22"/>
        </w:rPr>
      </w:pPr>
      <w:r w:rsidRPr="000143A5">
        <w:rPr>
          <w:rStyle w:val="markedcontent"/>
          <w:rFonts w:asciiTheme="minorHAnsi" w:hAnsiTheme="minorHAnsi" w:cstheme="minorHAnsi"/>
          <w:sz w:val="22"/>
          <w:szCs w:val="22"/>
        </w:rPr>
        <w:t>PF-07321332 (nirmatrelvir) plus ritonavir (Paxlovid®) administered orally has conditional marketing authorisation in Great Britain for the treatment of COVID-19 in adults who do not require supplemental oxygen and who are at increased risk for progression to severe COVID-19.</w:t>
      </w:r>
    </w:p>
    <w:p w14:paraId="63179906" w14:textId="77777777" w:rsidR="00E73228" w:rsidRPr="000143A5" w:rsidRDefault="00E73228" w:rsidP="006B6EFE">
      <w:pPr>
        <w:spacing w:after="240" w:line="225" w:lineRule="auto"/>
        <w:ind w:right="-46"/>
        <w:rPr>
          <w:rFonts w:asciiTheme="minorHAnsi" w:hAnsiTheme="minorHAnsi" w:cstheme="minorHAnsi"/>
          <w:sz w:val="22"/>
          <w:szCs w:val="22"/>
        </w:rPr>
      </w:pPr>
    </w:p>
    <w:p w14:paraId="52C31651" w14:textId="2FA18928" w:rsidR="00F67C40" w:rsidRPr="000143A5" w:rsidRDefault="00963B7A" w:rsidP="00E73228">
      <w:pPr>
        <w:spacing w:line="226" w:lineRule="auto"/>
        <w:ind w:right="-45"/>
        <w:rPr>
          <w:rFonts w:asciiTheme="minorHAnsi" w:hAnsiTheme="minorHAnsi" w:cstheme="minorHAnsi"/>
          <w:sz w:val="22"/>
          <w:szCs w:val="22"/>
        </w:rPr>
      </w:pPr>
      <w:r w:rsidRPr="000143A5">
        <w:rPr>
          <w:rFonts w:asciiTheme="minorHAnsi" w:hAnsiTheme="minorHAnsi" w:cstheme="minorHAnsi"/>
          <w:sz w:val="22"/>
          <w:szCs w:val="22"/>
        </w:rPr>
        <w:t>Remdesivir delivered intravenously has conditional marketing authorisation in the UK for the</w:t>
      </w:r>
      <w:r w:rsidR="00F67C40" w:rsidRPr="000143A5">
        <w:rPr>
          <w:rFonts w:asciiTheme="minorHAnsi" w:hAnsiTheme="minorHAnsi" w:cstheme="minorHAnsi"/>
          <w:sz w:val="22"/>
          <w:szCs w:val="22"/>
        </w:rPr>
        <w:t xml:space="preserve"> </w:t>
      </w:r>
      <w:r w:rsidR="006B6EFE" w:rsidRPr="000143A5">
        <w:rPr>
          <w:rFonts w:asciiTheme="minorHAnsi" w:hAnsiTheme="minorHAnsi" w:cstheme="minorHAnsi"/>
          <w:sz w:val="22"/>
          <w:szCs w:val="22"/>
        </w:rPr>
        <w:t>t</w:t>
      </w:r>
      <w:r w:rsidRPr="000143A5">
        <w:rPr>
          <w:rFonts w:asciiTheme="minorHAnsi" w:hAnsiTheme="minorHAnsi" w:cstheme="minorHAnsi"/>
          <w:sz w:val="22"/>
          <w:szCs w:val="22"/>
        </w:rPr>
        <w:t xml:space="preserve">reatment of COVID-19 </w:t>
      </w:r>
    </w:p>
    <w:p w14:paraId="059F3F38" w14:textId="1D33289B" w:rsidR="00963B7A" w:rsidRPr="000143A5" w:rsidRDefault="00963B7A" w:rsidP="00F67C40">
      <w:pPr>
        <w:pStyle w:val="ListParagraph"/>
        <w:numPr>
          <w:ilvl w:val="0"/>
          <w:numId w:val="31"/>
        </w:numPr>
        <w:spacing w:after="240" w:line="225" w:lineRule="auto"/>
        <w:ind w:right="-46"/>
        <w:rPr>
          <w:rFonts w:cstheme="minorHAnsi"/>
        </w:rPr>
      </w:pPr>
      <w:r w:rsidRPr="000143A5">
        <w:rPr>
          <w:rFonts w:cstheme="minorHAnsi"/>
        </w:rPr>
        <w:t>in adults who do not require supplemental oxygen and who are at increased risk of progressing to severe COVID-19 within 7 days of symptom onset, for a treatment duration of 3 days.</w:t>
      </w:r>
    </w:p>
    <w:p w14:paraId="4948EB62" w14:textId="1DBB770A" w:rsidR="00963B7A" w:rsidRPr="000143A5" w:rsidRDefault="00F67C40" w:rsidP="00963B7A">
      <w:pPr>
        <w:pStyle w:val="ListParagraph"/>
        <w:numPr>
          <w:ilvl w:val="0"/>
          <w:numId w:val="31"/>
        </w:numPr>
        <w:spacing w:after="240" w:line="225" w:lineRule="auto"/>
        <w:ind w:right="-46"/>
        <w:rPr>
          <w:rFonts w:cstheme="minorHAnsi"/>
        </w:rPr>
      </w:pPr>
      <w:r w:rsidRPr="000143A5">
        <w:rPr>
          <w:rStyle w:val="markedcontent"/>
          <w:rFonts w:cstheme="minorHAnsi"/>
        </w:rPr>
        <w:t>in adults and adolescents (aged 12 to less than 18 years and</w:t>
      </w:r>
      <w:r w:rsidRPr="000143A5">
        <w:rPr>
          <w:rFonts w:cstheme="minorHAnsi"/>
        </w:rPr>
        <w:t xml:space="preserve"> </w:t>
      </w:r>
      <w:r w:rsidRPr="000143A5">
        <w:rPr>
          <w:rStyle w:val="markedcontent"/>
          <w:rFonts w:cstheme="minorHAnsi"/>
        </w:rPr>
        <w:t>weighing at least 40kg) with pneumonia requiring supplemental oxygen (low- or high-flow</w:t>
      </w:r>
      <w:r w:rsidRPr="000143A5">
        <w:rPr>
          <w:rFonts w:cstheme="minorHAnsi"/>
        </w:rPr>
        <w:t xml:space="preserve"> </w:t>
      </w:r>
      <w:r w:rsidRPr="000143A5">
        <w:rPr>
          <w:rStyle w:val="markedcontent"/>
          <w:rFonts w:cstheme="minorHAnsi"/>
        </w:rPr>
        <w:t>oxygen or other non-invasive ventilation at start of treatment), for a treatment duration of 5-</w:t>
      </w:r>
      <w:r w:rsidRPr="000143A5">
        <w:rPr>
          <w:rFonts w:cstheme="minorHAnsi"/>
        </w:rPr>
        <w:br/>
      </w:r>
      <w:r w:rsidRPr="000143A5">
        <w:rPr>
          <w:rStyle w:val="markedcontent"/>
          <w:rFonts w:cstheme="minorHAnsi"/>
        </w:rPr>
        <w:t>10 days.</w:t>
      </w:r>
    </w:p>
    <w:p w14:paraId="41535048" w14:textId="77777777" w:rsidR="006B6EFE" w:rsidRPr="000143A5" w:rsidRDefault="006B6EFE" w:rsidP="006B6EFE">
      <w:pPr>
        <w:spacing w:before="120" w:after="240"/>
        <w:rPr>
          <w:rFonts w:asciiTheme="minorHAnsi" w:hAnsiTheme="minorHAnsi" w:cstheme="minorHAnsi"/>
          <w:sz w:val="22"/>
          <w:szCs w:val="22"/>
        </w:rPr>
      </w:pPr>
      <w:r w:rsidRPr="000143A5">
        <w:rPr>
          <w:rFonts w:asciiTheme="minorHAnsi" w:hAnsiTheme="minorHAnsi" w:cstheme="minorHAnsi"/>
          <w:sz w:val="22"/>
          <w:szCs w:val="22"/>
        </w:rPr>
        <w:t>Sotrovimab delivered intravenously has conditional marketing authorisation in Great Britain for the treatment of symptomatic adults and adolescents (aged 12 years and over and weighing at least 40 kg) with acute COVID-19 infection who do not require oxygen supplementation and who are at increased risk of progressing to severe COVID-19 infection.</w:t>
      </w:r>
    </w:p>
    <w:p w14:paraId="18AF14E8" w14:textId="77777777" w:rsidR="00F67C40" w:rsidRPr="000143A5" w:rsidRDefault="00F67C40" w:rsidP="00F67C40">
      <w:pPr>
        <w:spacing w:after="240" w:line="225" w:lineRule="auto"/>
        <w:ind w:right="-46"/>
        <w:rPr>
          <w:rStyle w:val="Hyperlink"/>
          <w:rFonts w:asciiTheme="minorHAnsi" w:hAnsiTheme="minorHAnsi" w:cstheme="minorHAnsi"/>
          <w:color w:val="0000FF"/>
          <w:sz w:val="22"/>
          <w:szCs w:val="22"/>
        </w:rPr>
      </w:pPr>
      <w:r w:rsidRPr="000143A5">
        <w:rPr>
          <w:rFonts w:asciiTheme="minorHAnsi" w:hAnsiTheme="minorHAnsi" w:cstheme="minorHAnsi"/>
          <w:sz w:val="22"/>
          <w:szCs w:val="22"/>
        </w:rPr>
        <w:t xml:space="preserve">Any suspected adverse drug reactions for patients receiving </w:t>
      </w:r>
      <w:r w:rsidRPr="000143A5">
        <w:rPr>
          <w:rStyle w:val="markedcontent"/>
          <w:rFonts w:asciiTheme="minorHAnsi" w:hAnsiTheme="minorHAnsi" w:cstheme="minorHAnsi"/>
          <w:sz w:val="22"/>
          <w:szCs w:val="22"/>
        </w:rPr>
        <w:t>Paxlovid®,</w:t>
      </w:r>
      <w:r w:rsidRPr="000143A5">
        <w:rPr>
          <w:rFonts w:asciiTheme="minorHAnsi" w:hAnsiTheme="minorHAnsi" w:cstheme="minorHAnsi"/>
          <w:sz w:val="22"/>
          <w:szCs w:val="22"/>
        </w:rPr>
        <w:t xml:space="preserve"> remdesivir or sotrovimab must be reported directly to the MHRA via the new dedicated COVID-19 Yellow Card reporting site at: </w:t>
      </w:r>
      <w:hyperlink r:id="rId27" w:history="1">
        <w:r w:rsidRPr="000143A5">
          <w:rPr>
            <w:rFonts w:asciiTheme="minorHAnsi" w:hAnsiTheme="minorHAnsi" w:cstheme="minorHAnsi"/>
            <w:color w:val="0000FF"/>
            <w:sz w:val="22"/>
            <w:szCs w:val="22"/>
            <w:u w:val="single"/>
          </w:rPr>
          <w:t>https://coronavirus-yellowcard.mhra.gov.uk/</w:t>
        </w:r>
      </w:hyperlink>
      <w:r w:rsidRPr="000143A5">
        <w:rPr>
          <w:rStyle w:val="Hyperlink"/>
          <w:rFonts w:asciiTheme="minorHAnsi" w:hAnsiTheme="minorHAnsi" w:cstheme="minorHAnsi"/>
          <w:b/>
          <w:color w:val="auto"/>
          <w:sz w:val="22"/>
          <w:szCs w:val="22"/>
          <w:u w:val="none"/>
        </w:rPr>
        <w:t>.</w:t>
      </w:r>
    </w:p>
    <w:p w14:paraId="736E69E4" w14:textId="77777777" w:rsidR="00531188" w:rsidRPr="000143A5" w:rsidRDefault="00531188" w:rsidP="001125B7">
      <w:pPr>
        <w:shd w:val="clear" w:color="auto" w:fill="FFFFFF"/>
        <w:spacing w:after="120" w:line="276" w:lineRule="atLeast"/>
        <w:rPr>
          <w:rFonts w:asciiTheme="minorHAnsi" w:hAnsiTheme="minorHAnsi" w:cstheme="minorHAnsi"/>
          <w:b/>
          <w:bCs/>
          <w:color w:val="000000"/>
          <w:sz w:val="22"/>
          <w:szCs w:val="22"/>
          <w:u w:val="single"/>
          <w:bdr w:val="none" w:sz="0" w:space="0" w:color="auto" w:frame="1"/>
        </w:rPr>
      </w:pPr>
    </w:p>
    <w:p w14:paraId="0FC8AF0B" w14:textId="77777777" w:rsidR="00E73228" w:rsidRPr="000143A5" w:rsidRDefault="00E73228" w:rsidP="001125B7">
      <w:pPr>
        <w:shd w:val="clear" w:color="auto" w:fill="FFFFFF"/>
        <w:spacing w:after="120" w:line="276" w:lineRule="atLeast"/>
        <w:rPr>
          <w:rStyle w:val="markedcontent"/>
          <w:rFonts w:asciiTheme="minorHAnsi" w:hAnsiTheme="minorHAnsi" w:cstheme="minorHAnsi"/>
          <w:b/>
          <w:sz w:val="22"/>
          <w:szCs w:val="22"/>
        </w:rPr>
      </w:pPr>
    </w:p>
    <w:p w14:paraId="315EA2E8" w14:textId="77777777" w:rsidR="000143A5" w:rsidRDefault="000143A5" w:rsidP="001125B7">
      <w:pPr>
        <w:shd w:val="clear" w:color="auto" w:fill="FFFFFF"/>
        <w:spacing w:after="120" w:line="276" w:lineRule="atLeast"/>
        <w:rPr>
          <w:rStyle w:val="markedcontent"/>
          <w:rFonts w:asciiTheme="minorHAnsi" w:hAnsiTheme="minorHAnsi" w:cstheme="minorHAnsi"/>
          <w:b/>
          <w:sz w:val="22"/>
          <w:szCs w:val="22"/>
          <w:u w:val="single"/>
        </w:rPr>
      </w:pPr>
    </w:p>
    <w:p w14:paraId="5E3E62E2" w14:textId="77777777" w:rsidR="000143A5" w:rsidRDefault="000143A5" w:rsidP="001125B7">
      <w:pPr>
        <w:shd w:val="clear" w:color="auto" w:fill="FFFFFF"/>
        <w:spacing w:after="120" w:line="276" w:lineRule="atLeast"/>
        <w:rPr>
          <w:rStyle w:val="markedcontent"/>
          <w:rFonts w:asciiTheme="minorHAnsi" w:hAnsiTheme="minorHAnsi" w:cstheme="minorHAnsi"/>
          <w:b/>
          <w:sz w:val="22"/>
          <w:szCs w:val="22"/>
          <w:u w:val="single"/>
        </w:rPr>
      </w:pPr>
    </w:p>
    <w:p w14:paraId="0237DA5C" w14:textId="77777777" w:rsidR="000143A5" w:rsidRDefault="000143A5" w:rsidP="001125B7">
      <w:pPr>
        <w:shd w:val="clear" w:color="auto" w:fill="FFFFFF"/>
        <w:spacing w:after="120" w:line="276" w:lineRule="atLeast"/>
        <w:rPr>
          <w:rStyle w:val="markedcontent"/>
          <w:rFonts w:asciiTheme="minorHAnsi" w:hAnsiTheme="minorHAnsi" w:cstheme="minorHAnsi"/>
          <w:b/>
          <w:sz w:val="22"/>
          <w:szCs w:val="22"/>
          <w:u w:val="single"/>
        </w:rPr>
      </w:pPr>
    </w:p>
    <w:p w14:paraId="66219557" w14:textId="77777777" w:rsidR="000143A5" w:rsidRDefault="000143A5" w:rsidP="001125B7">
      <w:pPr>
        <w:shd w:val="clear" w:color="auto" w:fill="FFFFFF"/>
        <w:spacing w:after="120" w:line="276" w:lineRule="atLeast"/>
        <w:rPr>
          <w:rStyle w:val="markedcontent"/>
          <w:rFonts w:asciiTheme="minorHAnsi" w:hAnsiTheme="minorHAnsi" w:cstheme="minorHAnsi"/>
          <w:b/>
          <w:sz w:val="22"/>
          <w:szCs w:val="22"/>
          <w:u w:val="single"/>
        </w:rPr>
      </w:pPr>
    </w:p>
    <w:p w14:paraId="318F2C2C" w14:textId="77777777" w:rsidR="000143A5" w:rsidRDefault="000143A5" w:rsidP="001125B7">
      <w:pPr>
        <w:shd w:val="clear" w:color="auto" w:fill="FFFFFF"/>
        <w:spacing w:after="120" w:line="276" w:lineRule="atLeast"/>
        <w:rPr>
          <w:rStyle w:val="markedcontent"/>
          <w:rFonts w:asciiTheme="minorHAnsi" w:hAnsiTheme="minorHAnsi" w:cstheme="minorHAnsi"/>
          <w:b/>
          <w:sz w:val="22"/>
          <w:szCs w:val="22"/>
          <w:u w:val="single"/>
        </w:rPr>
      </w:pPr>
    </w:p>
    <w:p w14:paraId="1B86A279" w14:textId="77777777" w:rsidR="000143A5" w:rsidRDefault="000143A5" w:rsidP="001125B7">
      <w:pPr>
        <w:shd w:val="clear" w:color="auto" w:fill="FFFFFF"/>
        <w:spacing w:after="120" w:line="276" w:lineRule="atLeast"/>
        <w:rPr>
          <w:rStyle w:val="markedcontent"/>
          <w:rFonts w:asciiTheme="minorHAnsi" w:hAnsiTheme="minorHAnsi" w:cstheme="minorHAnsi"/>
          <w:b/>
          <w:sz w:val="22"/>
          <w:szCs w:val="22"/>
          <w:u w:val="single"/>
        </w:rPr>
      </w:pPr>
    </w:p>
    <w:p w14:paraId="19F7F07B" w14:textId="77777777" w:rsidR="000143A5" w:rsidRDefault="000143A5" w:rsidP="001125B7">
      <w:pPr>
        <w:shd w:val="clear" w:color="auto" w:fill="FFFFFF"/>
        <w:spacing w:after="120" w:line="276" w:lineRule="atLeast"/>
        <w:rPr>
          <w:rStyle w:val="markedcontent"/>
          <w:rFonts w:asciiTheme="minorHAnsi" w:hAnsiTheme="minorHAnsi" w:cstheme="minorHAnsi"/>
          <w:b/>
          <w:sz w:val="22"/>
          <w:szCs w:val="22"/>
          <w:u w:val="single"/>
        </w:rPr>
      </w:pPr>
    </w:p>
    <w:p w14:paraId="5FFAE42A" w14:textId="77777777" w:rsidR="000143A5" w:rsidRDefault="000143A5" w:rsidP="001125B7">
      <w:pPr>
        <w:shd w:val="clear" w:color="auto" w:fill="FFFFFF"/>
        <w:spacing w:after="120" w:line="276" w:lineRule="atLeast"/>
        <w:rPr>
          <w:rStyle w:val="markedcontent"/>
          <w:rFonts w:asciiTheme="minorHAnsi" w:hAnsiTheme="minorHAnsi" w:cstheme="minorHAnsi"/>
          <w:b/>
          <w:sz w:val="22"/>
          <w:szCs w:val="22"/>
          <w:u w:val="single"/>
        </w:rPr>
      </w:pPr>
    </w:p>
    <w:p w14:paraId="649F4DC6" w14:textId="21F21ACD" w:rsidR="00F67C40" w:rsidRPr="000143A5" w:rsidRDefault="00F67C40" w:rsidP="001125B7">
      <w:pPr>
        <w:shd w:val="clear" w:color="auto" w:fill="FFFFFF"/>
        <w:spacing w:after="120" w:line="276" w:lineRule="atLeast"/>
        <w:rPr>
          <w:rStyle w:val="markedcontent"/>
          <w:rFonts w:asciiTheme="minorHAnsi" w:hAnsiTheme="minorHAnsi" w:cstheme="minorHAnsi"/>
          <w:b/>
          <w:sz w:val="22"/>
          <w:szCs w:val="22"/>
          <w:u w:val="single"/>
        </w:rPr>
      </w:pPr>
      <w:r w:rsidRPr="000143A5">
        <w:rPr>
          <w:rStyle w:val="markedcontent"/>
          <w:rFonts w:asciiTheme="minorHAnsi" w:hAnsiTheme="minorHAnsi" w:cstheme="minorHAnsi"/>
          <w:b/>
          <w:sz w:val="22"/>
          <w:szCs w:val="22"/>
          <w:u w:val="single"/>
        </w:rPr>
        <w:t xml:space="preserve">References </w:t>
      </w:r>
    </w:p>
    <w:p w14:paraId="68DC4071" w14:textId="77777777" w:rsidR="00F67C40" w:rsidRPr="000143A5" w:rsidRDefault="00F67C40" w:rsidP="00F67C40">
      <w:pPr>
        <w:pStyle w:val="ListParagraph"/>
        <w:numPr>
          <w:ilvl w:val="0"/>
          <w:numId w:val="30"/>
        </w:numPr>
        <w:shd w:val="clear" w:color="auto" w:fill="FFFFFF"/>
        <w:spacing w:after="120" w:line="276" w:lineRule="atLeast"/>
        <w:rPr>
          <w:rStyle w:val="markedcontent"/>
          <w:rFonts w:cstheme="minorHAnsi"/>
        </w:rPr>
      </w:pPr>
      <w:r w:rsidRPr="000143A5">
        <w:rPr>
          <w:rStyle w:val="markedcontent"/>
          <w:rFonts w:cstheme="minorHAnsi"/>
        </w:rPr>
        <w:t>Gottlieb RL, Vaca CE, Paredes R, et al. Early Remdesivir to Prevent Progression to Severe</w:t>
      </w:r>
      <w:r w:rsidRPr="000143A5">
        <w:rPr>
          <w:rFonts w:cstheme="minorHAnsi"/>
        </w:rPr>
        <w:t xml:space="preserve"> </w:t>
      </w:r>
      <w:r w:rsidRPr="000143A5">
        <w:rPr>
          <w:rStyle w:val="markedcontent"/>
          <w:rFonts w:cstheme="minorHAnsi"/>
        </w:rPr>
        <w:t>Covid-19 in Outpatients [published online ahead of print, 2021 Dec 22]. N Engl J Med.</w:t>
      </w:r>
      <w:r w:rsidRPr="000143A5">
        <w:rPr>
          <w:rFonts w:cstheme="minorHAnsi"/>
        </w:rPr>
        <w:t xml:space="preserve"> </w:t>
      </w:r>
      <w:r w:rsidRPr="000143A5">
        <w:rPr>
          <w:rStyle w:val="markedcontent"/>
          <w:rFonts w:cstheme="minorHAnsi"/>
        </w:rPr>
        <w:t>2021;10.1056/NEJMoa2116846. doi:10.1056/NEJMoa2116846</w:t>
      </w:r>
    </w:p>
    <w:p w14:paraId="02F26A65" w14:textId="77777777" w:rsidR="00F67C40" w:rsidRPr="000143A5" w:rsidRDefault="00F67C40" w:rsidP="00F67C40">
      <w:pPr>
        <w:pStyle w:val="ListParagraph"/>
        <w:numPr>
          <w:ilvl w:val="0"/>
          <w:numId w:val="30"/>
        </w:numPr>
        <w:shd w:val="clear" w:color="auto" w:fill="FFFFFF"/>
        <w:spacing w:after="120" w:line="276" w:lineRule="atLeast"/>
        <w:rPr>
          <w:rStyle w:val="markedcontent"/>
          <w:rFonts w:cstheme="minorHAnsi"/>
        </w:rPr>
      </w:pPr>
      <w:r w:rsidRPr="000143A5">
        <w:rPr>
          <w:rStyle w:val="markedcontent"/>
          <w:rFonts w:cstheme="minorHAnsi"/>
        </w:rPr>
        <w:t>Gupta A, Gonzalez-Rojas Y, Juarez E, et al. Early Treatment for Covid-19 with SARS-CoV-2</w:t>
      </w:r>
      <w:r w:rsidRPr="000143A5">
        <w:rPr>
          <w:rFonts w:cstheme="minorHAnsi"/>
        </w:rPr>
        <w:t xml:space="preserve"> </w:t>
      </w:r>
      <w:r w:rsidRPr="000143A5">
        <w:rPr>
          <w:rStyle w:val="markedcontent"/>
          <w:rFonts w:cstheme="minorHAnsi"/>
        </w:rPr>
        <w:t>Neutralizing Antibody Sotrovimab [published online ahead of print, 2021 Oct 27]. N Engl J Med.</w:t>
      </w:r>
      <w:r w:rsidRPr="000143A5">
        <w:rPr>
          <w:rFonts w:cstheme="minorHAnsi"/>
        </w:rPr>
        <w:t xml:space="preserve"> </w:t>
      </w:r>
      <w:r w:rsidRPr="000143A5">
        <w:rPr>
          <w:rStyle w:val="markedcontent"/>
          <w:rFonts w:cstheme="minorHAnsi"/>
        </w:rPr>
        <w:t>2021;10.1056/NEJMoa2107934. doi:10.1056/NEJMoa2107934</w:t>
      </w:r>
    </w:p>
    <w:p w14:paraId="2D3C4645" w14:textId="77777777" w:rsidR="00F67C40" w:rsidRPr="000143A5" w:rsidRDefault="00F67C40" w:rsidP="00F67C40">
      <w:pPr>
        <w:pStyle w:val="ListParagraph"/>
        <w:numPr>
          <w:ilvl w:val="0"/>
          <w:numId w:val="30"/>
        </w:numPr>
        <w:shd w:val="clear" w:color="auto" w:fill="FFFFFF"/>
        <w:spacing w:after="120" w:line="276" w:lineRule="atLeast"/>
        <w:rPr>
          <w:rFonts w:cstheme="minorHAnsi"/>
        </w:rPr>
      </w:pPr>
      <w:r w:rsidRPr="000143A5">
        <w:rPr>
          <w:rStyle w:val="markedcontent"/>
          <w:rFonts w:cstheme="minorHAnsi"/>
        </w:rPr>
        <w:t>Gupta A, Gonzalez-Rojas Y, Juarez E, et al. Effect of the Neutralizing SARS-CoV-“</w:t>
      </w:r>
      <w:r w:rsidRPr="000143A5">
        <w:rPr>
          <w:rFonts w:cstheme="minorHAnsi"/>
        </w:rPr>
        <w:br/>
      </w:r>
      <w:r w:rsidRPr="000143A5">
        <w:rPr>
          <w:rStyle w:val="markedcontent"/>
          <w:rFonts w:cstheme="minorHAnsi"/>
        </w:rPr>
        <w:t>Antibody Sotrovimab in Preventing Progression of COVID-19: A Randomized Clinical</w:t>
      </w:r>
      <w:r w:rsidRPr="000143A5">
        <w:rPr>
          <w:rFonts w:cstheme="minorHAnsi"/>
        </w:rPr>
        <w:br/>
      </w:r>
      <w:r w:rsidRPr="000143A5">
        <w:rPr>
          <w:rStyle w:val="markedcontent"/>
          <w:rFonts w:cstheme="minorHAnsi"/>
        </w:rPr>
        <w:t xml:space="preserve">Trial. Preprint available at: </w:t>
      </w:r>
      <w:hyperlink r:id="rId28" w:history="1">
        <w:r w:rsidRPr="000143A5">
          <w:rPr>
            <w:rStyle w:val="Hyperlink"/>
            <w:rFonts w:cstheme="minorHAnsi"/>
          </w:rPr>
          <w:t>https://www.medrxiv.org/content/10.1101/2021.11.03.21265533v1</w:t>
        </w:r>
      </w:hyperlink>
      <w:r w:rsidRPr="000143A5">
        <w:rPr>
          <w:rStyle w:val="markedcontent"/>
          <w:rFonts w:cstheme="minorHAnsi"/>
        </w:rPr>
        <w:t xml:space="preserve"> </w:t>
      </w:r>
    </w:p>
    <w:p w14:paraId="46CBA33D" w14:textId="77777777" w:rsidR="00F67C40" w:rsidRPr="000143A5" w:rsidRDefault="00F67C40" w:rsidP="00F67C40">
      <w:pPr>
        <w:pStyle w:val="ListParagraph"/>
        <w:numPr>
          <w:ilvl w:val="0"/>
          <w:numId w:val="30"/>
        </w:numPr>
        <w:shd w:val="clear" w:color="auto" w:fill="FFFFFF"/>
        <w:spacing w:after="120" w:line="276" w:lineRule="atLeast"/>
        <w:rPr>
          <w:rFonts w:cstheme="minorHAnsi"/>
        </w:rPr>
      </w:pPr>
      <w:r w:rsidRPr="000143A5">
        <w:rPr>
          <w:rStyle w:val="markedcontent"/>
          <w:rFonts w:cstheme="minorHAnsi"/>
        </w:rPr>
        <w:t>Hammond J, Leister-Tebbe H, Gardner A, et al. Oral Nirmatrelvir for High-Risk,</w:t>
      </w:r>
      <w:r w:rsidRPr="000143A5">
        <w:rPr>
          <w:rFonts w:cstheme="minorHAnsi"/>
        </w:rPr>
        <w:br/>
      </w:r>
      <w:r w:rsidRPr="000143A5">
        <w:rPr>
          <w:rStyle w:val="markedcontent"/>
          <w:rFonts w:cstheme="minorHAnsi"/>
        </w:rPr>
        <w:t>Nonhospitalized Adults with Covid-19 [published online ahead of print, 2022 Feb 16]. N Engl J</w:t>
      </w:r>
      <w:r w:rsidRPr="000143A5">
        <w:rPr>
          <w:rFonts w:cstheme="minorHAnsi"/>
        </w:rPr>
        <w:t xml:space="preserve"> </w:t>
      </w:r>
      <w:r w:rsidRPr="000143A5">
        <w:rPr>
          <w:rStyle w:val="markedcontent"/>
          <w:rFonts w:cstheme="minorHAnsi"/>
        </w:rPr>
        <w:t>Med. 2022;10.1056/NEJMoa2118542. doi:10.1056/NEJMoa2118542</w:t>
      </w:r>
    </w:p>
    <w:p w14:paraId="53E2FED0" w14:textId="728B87D9" w:rsidR="00531188" w:rsidRPr="005C5C72" w:rsidRDefault="00F67C40" w:rsidP="00F67C40">
      <w:pPr>
        <w:pStyle w:val="ListParagraph"/>
        <w:numPr>
          <w:ilvl w:val="0"/>
          <w:numId w:val="30"/>
        </w:numPr>
        <w:shd w:val="clear" w:color="auto" w:fill="FFFFFF"/>
        <w:spacing w:after="120" w:line="276" w:lineRule="atLeast"/>
        <w:rPr>
          <w:rStyle w:val="markedcontent"/>
          <w:rFonts w:cstheme="minorHAnsi"/>
        </w:rPr>
      </w:pPr>
      <w:bookmarkStart w:id="0" w:name="_GoBack"/>
      <w:bookmarkEnd w:id="0"/>
      <w:r w:rsidRPr="005C5C72">
        <w:rPr>
          <w:rStyle w:val="markedcontent"/>
          <w:rFonts w:cstheme="minorHAnsi"/>
        </w:rPr>
        <w:t>Hoffmann M, Kruger N, Schulz S, et al. The Omicron variant is highly resistant against</w:t>
      </w:r>
      <w:r w:rsidRPr="005C5C72">
        <w:rPr>
          <w:rFonts w:cstheme="minorHAnsi"/>
        </w:rPr>
        <w:br/>
      </w:r>
      <w:r w:rsidRPr="005C5C72">
        <w:rPr>
          <w:rStyle w:val="markedcontent"/>
          <w:rFonts w:cstheme="minorHAnsi"/>
        </w:rPr>
        <w:t>antibody-mediated neutralisation – implications for control of the COVID-19 pandemic. Preprint</w:t>
      </w:r>
      <w:r w:rsidRPr="005C5C72">
        <w:rPr>
          <w:rFonts w:cstheme="minorHAnsi"/>
        </w:rPr>
        <w:t xml:space="preserve"> </w:t>
      </w:r>
      <w:r w:rsidRPr="005C5C72">
        <w:rPr>
          <w:rStyle w:val="markedcontent"/>
          <w:rFonts w:cstheme="minorHAnsi"/>
        </w:rPr>
        <w:t xml:space="preserve">available at: </w:t>
      </w:r>
      <w:hyperlink r:id="rId29" w:history="1">
        <w:r w:rsidRPr="005C5C72">
          <w:rPr>
            <w:rStyle w:val="Hyperlink"/>
            <w:rFonts w:cstheme="minorHAnsi"/>
          </w:rPr>
          <w:t>https://www.biorxiv.org/content/10.1101/2021.12.12.472286v1</w:t>
        </w:r>
      </w:hyperlink>
      <w:r w:rsidRPr="005C5C72">
        <w:rPr>
          <w:rStyle w:val="markedcontent"/>
          <w:rFonts w:cstheme="minorHAnsi"/>
        </w:rPr>
        <w:t xml:space="preserve"> </w:t>
      </w:r>
    </w:p>
    <w:p w14:paraId="6DE77F3F" w14:textId="2280A9AA" w:rsidR="000143A5" w:rsidRPr="005C5C72" w:rsidRDefault="000143A5" w:rsidP="00F67C40">
      <w:pPr>
        <w:pStyle w:val="ListParagraph"/>
        <w:numPr>
          <w:ilvl w:val="0"/>
          <w:numId w:val="30"/>
        </w:numPr>
        <w:shd w:val="clear" w:color="auto" w:fill="FFFFFF"/>
        <w:spacing w:after="120" w:line="276" w:lineRule="atLeast"/>
        <w:rPr>
          <w:rFonts w:cstheme="minorHAnsi"/>
        </w:rPr>
      </w:pPr>
      <w:r w:rsidRPr="005C5C72">
        <w:t xml:space="preserve">World Health Organization, ‘Therapeutics and COVID-19: Living guideline’ update 16 September 2022 </w:t>
      </w:r>
      <w:hyperlink r:id="rId30" w:history="1">
        <w:r w:rsidRPr="005C5C72">
          <w:rPr>
            <w:rStyle w:val="Hyperlink"/>
          </w:rPr>
          <w:t>Therapeutics and COVID-19: Living guideline, 16 September 2022 (who.int)</w:t>
        </w:r>
      </w:hyperlink>
    </w:p>
    <w:p w14:paraId="413AA865" w14:textId="77777777" w:rsidR="00531188" w:rsidRPr="000143A5" w:rsidRDefault="00531188" w:rsidP="001125B7">
      <w:pPr>
        <w:shd w:val="clear" w:color="auto" w:fill="FFFFFF"/>
        <w:spacing w:after="120" w:line="276" w:lineRule="atLeast"/>
        <w:rPr>
          <w:rFonts w:asciiTheme="minorHAnsi" w:hAnsiTheme="minorHAnsi" w:cstheme="minorHAnsi"/>
          <w:b/>
          <w:bCs/>
          <w:color w:val="000000"/>
          <w:sz w:val="22"/>
          <w:szCs w:val="22"/>
          <w:u w:val="single"/>
          <w:bdr w:val="none" w:sz="0" w:space="0" w:color="auto" w:frame="1"/>
        </w:rPr>
      </w:pPr>
    </w:p>
    <w:p w14:paraId="044CAE64" w14:textId="0E8A7984" w:rsidR="009A280F" w:rsidRPr="000143A5" w:rsidRDefault="009A280F" w:rsidP="006B3CF8">
      <w:pPr>
        <w:spacing w:before="120"/>
        <w:rPr>
          <w:rStyle w:val="Hyperlink"/>
          <w:rFonts w:asciiTheme="minorHAnsi" w:hAnsiTheme="minorHAnsi" w:cstheme="minorHAnsi"/>
          <w:b/>
          <w:color w:val="auto"/>
          <w:sz w:val="22"/>
          <w:szCs w:val="22"/>
        </w:rPr>
      </w:pPr>
    </w:p>
    <w:p w14:paraId="4773ED18" w14:textId="77777777" w:rsidR="009A280F" w:rsidRPr="000143A5" w:rsidRDefault="009A280F" w:rsidP="006B3CF8">
      <w:pPr>
        <w:spacing w:before="120"/>
        <w:rPr>
          <w:rStyle w:val="Hyperlink"/>
          <w:rFonts w:asciiTheme="minorHAnsi" w:hAnsiTheme="minorHAnsi" w:cstheme="minorHAnsi"/>
          <w:b/>
          <w:color w:val="auto"/>
          <w:sz w:val="22"/>
          <w:szCs w:val="22"/>
        </w:rPr>
      </w:pPr>
    </w:p>
    <w:p w14:paraId="0485F258" w14:textId="77777777" w:rsidR="00531188" w:rsidRPr="000143A5" w:rsidRDefault="00531188" w:rsidP="006B3CF8">
      <w:pPr>
        <w:spacing w:before="120"/>
        <w:rPr>
          <w:rStyle w:val="Hyperlink"/>
          <w:rFonts w:asciiTheme="minorHAnsi" w:hAnsiTheme="minorHAnsi" w:cstheme="minorHAnsi"/>
          <w:b/>
          <w:strike/>
          <w:color w:val="000000"/>
          <w:sz w:val="22"/>
          <w:szCs w:val="22"/>
        </w:rPr>
      </w:pPr>
    </w:p>
    <w:p w14:paraId="26EEEADF" w14:textId="1DA9CB53" w:rsidR="005730BD" w:rsidRDefault="005730BD" w:rsidP="006B3CF8">
      <w:pPr>
        <w:spacing w:before="120"/>
        <w:rPr>
          <w:rFonts w:asciiTheme="minorHAnsi" w:hAnsiTheme="minorHAnsi" w:cstheme="minorHAnsi"/>
          <w:bCs/>
          <w:strike/>
          <w:sz w:val="22"/>
          <w:szCs w:val="22"/>
        </w:rPr>
      </w:pPr>
    </w:p>
    <w:p w14:paraId="15E9EFE5" w14:textId="3800253B" w:rsidR="000143A5" w:rsidRDefault="000143A5" w:rsidP="006B3CF8">
      <w:pPr>
        <w:spacing w:before="120"/>
        <w:rPr>
          <w:rFonts w:asciiTheme="minorHAnsi" w:hAnsiTheme="minorHAnsi" w:cstheme="minorHAnsi"/>
          <w:bCs/>
          <w:strike/>
          <w:sz w:val="22"/>
          <w:szCs w:val="22"/>
        </w:rPr>
      </w:pPr>
    </w:p>
    <w:p w14:paraId="78A12079" w14:textId="74BC7DCF" w:rsidR="000143A5" w:rsidRDefault="000143A5" w:rsidP="006B3CF8">
      <w:pPr>
        <w:spacing w:before="120"/>
        <w:rPr>
          <w:rFonts w:asciiTheme="minorHAnsi" w:hAnsiTheme="minorHAnsi" w:cstheme="minorHAnsi"/>
          <w:bCs/>
          <w:strike/>
          <w:sz w:val="22"/>
          <w:szCs w:val="22"/>
        </w:rPr>
      </w:pPr>
    </w:p>
    <w:p w14:paraId="7E337418" w14:textId="3076DDC3" w:rsidR="000143A5" w:rsidRDefault="000143A5" w:rsidP="006B3CF8">
      <w:pPr>
        <w:spacing w:before="120"/>
        <w:rPr>
          <w:rFonts w:asciiTheme="minorHAnsi" w:hAnsiTheme="minorHAnsi" w:cstheme="minorHAnsi"/>
          <w:bCs/>
          <w:strike/>
          <w:sz w:val="22"/>
          <w:szCs w:val="22"/>
        </w:rPr>
      </w:pPr>
    </w:p>
    <w:p w14:paraId="5B26486C" w14:textId="6A10B6D0" w:rsidR="000143A5" w:rsidRDefault="000143A5" w:rsidP="006B3CF8">
      <w:pPr>
        <w:spacing w:before="120"/>
        <w:rPr>
          <w:rFonts w:asciiTheme="minorHAnsi" w:hAnsiTheme="minorHAnsi" w:cstheme="minorHAnsi"/>
          <w:bCs/>
          <w:strike/>
          <w:sz w:val="22"/>
          <w:szCs w:val="22"/>
        </w:rPr>
      </w:pPr>
    </w:p>
    <w:p w14:paraId="1E422713" w14:textId="71055CF7" w:rsidR="000143A5" w:rsidRDefault="000143A5" w:rsidP="006B3CF8">
      <w:pPr>
        <w:spacing w:before="120"/>
        <w:rPr>
          <w:rFonts w:asciiTheme="minorHAnsi" w:hAnsiTheme="minorHAnsi" w:cstheme="minorHAnsi"/>
          <w:bCs/>
          <w:strike/>
          <w:sz w:val="22"/>
          <w:szCs w:val="22"/>
        </w:rPr>
      </w:pPr>
    </w:p>
    <w:p w14:paraId="75CC660A" w14:textId="46EBA2B5" w:rsidR="000143A5" w:rsidRDefault="000143A5" w:rsidP="006B3CF8">
      <w:pPr>
        <w:spacing w:before="120"/>
        <w:rPr>
          <w:rFonts w:asciiTheme="minorHAnsi" w:hAnsiTheme="minorHAnsi" w:cstheme="minorHAnsi"/>
          <w:bCs/>
          <w:strike/>
          <w:sz w:val="22"/>
          <w:szCs w:val="22"/>
        </w:rPr>
      </w:pPr>
    </w:p>
    <w:p w14:paraId="58CDDE3B" w14:textId="760D1E44" w:rsidR="000143A5" w:rsidRDefault="000143A5" w:rsidP="006B3CF8">
      <w:pPr>
        <w:spacing w:before="120"/>
        <w:rPr>
          <w:rFonts w:asciiTheme="minorHAnsi" w:hAnsiTheme="minorHAnsi" w:cstheme="minorHAnsi"/>
          <w:bCs/>
          <w:strike/>
          <w:sz w:val="22"/>
          <w:szCs w:val="22"/>
        </w:rPr>
      </w:pPr>
    </w:p>
    <w:p w14:paraId="704F01C6" w14:textId="7005AB08" w:rsidR="000143A5" w:rsidRDefault="000143A5" w:rsidP="006B3CF8">
      <w:pPr>
        <w:spacing w:before="120"/>
        <w:rPr>
          <w:rFonts w:asciiTheme="minorHAnsi" w:hAnsiTheme="minorHAnsi" w:cstheme="minorHAnsi"/>
          <w:bCs/>
          <w:strike/>
          <w:sz w:val="22"/>
          <w:szCs w:val="22"/>
        </w:rPr>
      </w:pPr>
    </w:p>
    <w:p w14:paraId="247F3497" w14:textId="364D5819" w:rsidR="000143A5" w:rsidRDefault="000143A5" w:rsidP="006B3CF8">
      <w:pPr>
        <w:spacing w:before="120"/>
        <w:rPr>
          <w:rFonts w:asciiTheme="minorHAnsi" w:hAnsiTheme="minorHAnsi" w:cstheme="minorHAnsi"/>
          <w:bCs/>
          <w:strike/>
          <w:sz w:val="22"/>
          <w:szCs w:val="22"/>
        </w:rPr>
      </w:pPr>
    </w:p>
    <w:p w14:paraId="5039993D" w14:textId="43C17F2F" w:rsidR="000143A5" w:rsidRDefault="000143A5" w:rsidP="006B3CF8">
      <w:pPr>
        <w:spacing w:before="120"/>
        <w:rPr>
          <w:rFonts w:asciiTheme="minorHAnsi" w:hAnsiTheme="minorHAnsi" w:cstheme="minorHAnsi"/>
          <w:bCs/>
          <w:strike/>
          <w:sz w:val="22"/>
          <w:szCs w:val="22"/>
        </w:rPr>
      </w:pPr>
    </w:p>
    <w:p w14:paraId="7138F720" w14:textId="78B4C44F" w:rsidR="000143A5" w:rsidRDefault="000143A5" w:rsidP="006B3CF8">
      <w:pPr>
        <w:spacing w:before="120"/>
        <w:rPr>
          <w:rFonts w:asciiTheme="minorHAnsi" w:hAnsiTheme="minorHAnsi" w:cstheme="minorHAnsi"/>
          <w:bCs/>
          <w:strike/>
          <w:sz w:val="22"/>
          <w:szCs w:val="22"/>
        </w:rPr>
      </w:pPr>
    </w:p>
    <w:p w14:paraId="49DC04FB" w14:textId="01FA250C" w:rsidR="000143A5" w:rsidRDefault="000143A5" w:rsidP="006B3CF8">
      <w:pPr>
        <w:spacing w:before="120"/>
        <w:rPr>
          <w:rFonts w:asciiTheme="minorHAnsi" w:hAnsiTheme="minorHAnsi" w:cstheme="minorHAnsi"/>
          <w:bCs/>
          <w:strike/>
          <w:sz w:val="22"/>
          <w:szCs w:val="22"/>
        </w:rPr>
      </w:pPr>
    </w:p>
    <w:p w14:paraId="746BE9F0" w14:textId="75300A84" w:rsidR="000143A5" w:rsidRDefault="000143A5" w:rsidP="006B3CF8">
      <w:pPr>
        <w:spacing w:before="120"/>
        <w:rPr>
          <w:rFonts w:asciiTheme="minorHAnsi" w:hAnsiTheme="minorHAnsi" w:cstheme="minorHAnsi"/>
          <w:bCs/>
          <w:strike/>
          <w:sz w:val="22"/>
          <w:szCs w:val="22"/>
        </w:rPr>
      </w:pPr>
    </w:p>
    <w:p w14:paraId="4F106F2D" w14:textId="752C7FC8" w:rsidR="000143A5" w:rsidRDefault="000143A5" w:rsidP="006B3CF8">
      <w:pPr>
        <w:spacing w:before="120"/>
        <w:rPr>
          <w:rFonts w:asciiTheme="minorHAnsi" w:hAnsiTheme="minorHAnsi" w:cstheme="minorHAnsi"/>
          <w:bCs/>
          <w:strike/>
          <w:sz w:val="22"/>
          <w:szCs w:val="22"/>
        </w:rPr>
      </w:pPr>
    </w:p>
    <w:p w14:paraId="472F0FF2" w14:textId="1E3F0171" w:rsidR="000143A5" w:rsidRDefault="000143A5" w:rsidP="006B3CF8">
      <w:pPr>
        <w:spacing w:before="120"/>
        <w:rPr>
          <w:rFonts w:asciiTheme="minorHAnsi" w:hAnsiTheme="minorHAnsi" w:cstheme="minorHAnsi"/>
          <w:bCs/>
          <w:strike/>
          <w:sz w:val="22"/>
          <w:szCs w:val="22"/>
        </w:rPr>
      </w:pPr>
    </w:p>
    <w:p w14:paraId="722705D1" w14:textId="0F49FFE7" w:rsidR="000143A5" w:rsidRDefault="000143A5" w:rsidP="006B3CF8">
      <w:pPr>
        <w:spacing w:before="120"/>
        <w:rPr>
          <w:rFonts w:asciiTheme="minorHAnsi" w:hAnsiTheme="minorHAnsi" w:cstheme="minorHAnsi"/>
          <w:bCs/>
          <w:strike/>
          <w:sz w:val="22"/>
          <w:szCs w:val="22"/>
        </w:rPr>
      </w:pPr>
    </w:p>
    <w:p w14:paraId="24EAFFC9" w14:textId="7C85FCEE" w:rsidR="000143A5" w:rsidRDefault="000143A5" w:rsidP="006B3CF8">
      <w:pPr>
        <w:spacing w:before="120"/>
        <w:rPr>
          <w:rFonts w:asciiTheme="minorHAnsi" w:hAnsiTheme="minorHAnsi" w:cstheme="minorHAnsi"/>
          <w:bCs/>
          <w:strike/>
          <w:sz w:val="22"/>
          <w:szCs w:val="22"/>
        </w:rPr>
      </w:pPr>
    </w:p>
    <w:p w14:paraId="6483B7E3" w14:textId="657B957C" w:rsidR="009D22F0" w:rsidRPr="000143A5" w:rsidRDefault="00E73228" w:rsidP="001125B7">
      <w:pPr>
        <w:spacing w:after="200" w:line="276" w:lineRule="auto"/>
        <w:rPr>
          <w:rFonts w:asciiTheme="minorHAnsi" w:hAnsiTheme="minorHAnsi" w:cstheme="minorHAnsi"/>
          <w:b/>
          <w:sz w:val="22"/>
          <w:szCs w:val="22"/>
          <w:u w:val="single"/>
        </w:rPr>
      </w:pPr>
      <w:r w:rsidRPr="000143A5">
        <w:rPr>
          <w:rStyle w:val="Hyperlink"/>
          <w:rFonts w:asciiTheme="minorHAnsi" w:hAnsiTheme="minorHAnsi" w:cstheme="minorHAnsi"/>
          <w:b/>
          <w:color w:val="auto"/>
          <w:sz w:val="22"/>
          <w:szCs w:val="22"/>
        </w:rPr>
        <w:t>Appendix 1</w:t>
      </w:r>
    </w:p>
    <w:p w14:paraId="2C325B8E"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The following patient cohorts were determined by an independent advisory group commissioned by the Department of Health and Social Care (DHSC) </w:t>
      </w:r>
      <w:r w:rsidRPr="000143A5">
        <w:rPr>
          <w:rFonts w:asciiTheme="minorHAnsi" w:hAnsiTheme="minorHAnsi" w:cstheme="minorHAnsi"/>
          <w:bCs/>
          <w:sz w:val="22"/>
          <w:szCs w:val="22"/>
        </w:rPr>
        <w:t>at highest risk from COVID-19 and to be prioritised for treatment with nMABs</w:t>
      </w:r>
      <w:r w:rsidRPr="000143A5">
        <w:rPr>
          <w:rFonts w:asciiTheme="minorHAnsi" w:eastAsiaTheme="minorHAnsi" w:hAnsiTheme="minorHAnsi" w:cstheme="minorHAnsi"/>
          <w:color w:val="000000"/>
          <w:sz w:val="22"/>
          <w:szCs w:val="22"/>
          <w:lang w:eastAsia="en-US"/>
        </w:rPr>
        <w:t>.</w:t>
      </w:r>
    </w:p>
    <w:p w14:paraId="22EF1321"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p>
    <w:tbl>
      <w:tblPr>
        <w:tblStyle w:val="TableGrid"/>
        <w:tblW w:w="9493" w:type="dxa"/>
        <w:tblLook w:val="04A0" w:firstRow="1" w:lastRow="0" w:firstColumn="1" w:lastColumn="0" w:noHBand="0" w:noVBand="1"/>
      </w:tblPr>
      <w:tblGrid>
        <w:gridCol w:w="2263"/>
        <w:gridCol w:w="7230"/>
      </w:tblGrid>
      <w:tr w:rsidR="009D22F0" w:rsidRPr="000143A5" w14:paraId="5EF6D672" w14:textId="77777777" w:rsidTr="00E73228">
        <w:tc>
          <w:tcPr>
            <w:tcW w:w="2263" w:type="dxa"/>
          </w:tcPr>
          <w:p w14:paraId="48BDA9D6"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b/>
                <w:bCs/>
                <w:color w:val="000000"/>
                <w:sz w:val="22"/>
                <w:szCs w:val="22"/>
                <w:lang w:eastAsia="en-US"/>
              </w:rPr>
              <w:t xml:space="preserve">Cohort </w:t>
            </w:r>
          </w:p>
        </w:tc>
        <w:tc>
          <w:tcPr>
            <w:tcW w:w="7230" w:type="dxa"/>
          </w:tcPr>
          <w:p w14:paraId="2F295035"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b/>
                <w:bCs/>
                <w:color w:val="000000"/>
                <w:sz w:val="22"/>
                <w:szCs w:val="22"/>
                <w:lang w:eastAsia="en-US"/>
              </w:rPr>
              <w:t xml:space="preserve">Description </w:t>
            </w:r>
          </w:p>
        </w:tc>
      </w:tr>
      <w:tr w:rsidR="009D22F0" w:rsidRPr="000143A5" w14:paraId="7476D67F" w14:textId="77777777" w:rsidTr="00E73228">
        <w:tc>
          <w:tcPr>
            <w:tcW w:w="2263" w:type="dxa"/>
          </w:tcPr>
          <w:p w14:paraId="3E8DC169"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Down’s syndrome </w:t>
            </w:r>
          </w:p>
        </w:tc>
        <w:tc>
          <w:tcPr>
            <w:tcW w:w="7230" w:type="dxa"/>
          </w:tcPr>
          <w:p w14:paraId="5F41A57F" w14:textId="44749171" w:rsidR="009D22F0" w:rsidRPr="000143A5" w:rsidRDefault="00E73228" w:rsidP="00E73228">
            <w:p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All individuals with Down’s syndrome or other chromosomal disorders known to affect immune competence (decision to treat to be at the discretion of the treating clinician).</w:t>
            </w:r>
          </w:p>
        </w:tc>
      </w:tr>
      <w:tr w:rsidR="009D22F0" w:rsidRPr="000143A5" w14:paraId="0A2AE171" w14:textId="77777777" w:rsidTr="00E73228">
        <w:tc>
          <w:tcPr>
            <w:tcW w:w="2263" w:type="dxa"/>
          </w:tcPr>
          <w:p w14:paraId="0E0FAC6B"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Patients with a solid cancer </w:t>
            </w:r>
          </w:p>
        </w:tc>
        <w:tc>
          <w:tcPr>
            <w:tcW w:w="7230" w:type="dxa"/>
          </w:tcPr>
          <w:p w14:paraId="03F15BF1" w14:textId="77777777" w:rsidR="00E73228" w:rsidRPr="000143A5" w:rsidRDefault="00E73228" w:rsidP="00E73228">
            <w:pPr>
              <w:numPr>
                <w:ilvl w:val="0"/>
                <w:numId w:val="19"/>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metastatic or locally advanced inoperable cancer</w:t>
            </w:r>
          </w:p>
          <w:p w14:paraId="5D60CF8A" w14:textId="77777777" w:rsidR="00E73228" w:rsidRPr="000143A5" w:rsidRDefault="00E73228" w:rsidP="00E73228">
            <w:pPr>
              <w:numPr>
                <w:ilvl w:val="0"/>
                <w:numId w:val="19"/>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lung cancer (at any stage)</w:t>
            </w:r>
          </w:p>
          <w:p w14:paraId="6606DAAA" w14:textId="3122C89F" w:rsidR="00E73228" w:rsidRPr="000143A5" w:rsidRDefault="00E73228" w:rsidP="00E73228">
            <w:pPr>
              <w:numPr>
                <w:ilvl w:val="0"/>
                <w:numId w:val="19"/>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people receiving any chemotherapy (including antibody-drug conjugates), PI3K inhibitors or radiotherapy within the last 12 months</w:t>
            </w:r>
          </w:p>
          <w:p w14:paraId="2FFF9D6D" w14:textId="77777777" w:rsidR="00E73228" w:rsidRPr="000143A5" w:rsidRDefault="00E73228" w:rsidP="00E73228">
            <w:pPr>
              <w:numPr>
                <w:ilvl w:val="0"/>
                <w:numId w:val="19"/>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people who have had cancer resected within 3 months</w:t>
            </w:r>
            <w:r w:rsidRPr="000143A5">
              <w:rPr>
                <w:rFonts w:asciiTheme="minorHAnsi" w:hAnsiTheme="minorHAnsi" w:cstheme="minorHAnsi"/>
                <w:color w:val="0000FF"/>
                <w:sz w:val="22"/>
                <w:szCs w:val="22"/>
                <w:u w:val="single"/>
                <w:vertAlign w:val="superscript"/>
              </w:rPr>
              <w:t xml:space="preserve"> </w:t>
            </w:r>
            <w:r w:rsidRPr="000143A5">
              <w:rPr>
                <w:rFonts w:asciiTheme="minorHAnsi" w:hAnsiTheme="minorHAnsi" w:cstheme="minorHAnsi"/>
                <w:sz w:val="22"/>
                <w:szCs w:val="22"/>
              </w:rPr>
              <w:t>and who received no adjuvant chemotherapy or radiotherapy</w:t>
            </w:r>
          </w:p>
          <w:p w14:paraId="204B7742" w14:textId="1D35660E" w:rsidR="009D22F0" w:rsidRPr="000143A5" w:rsidRDefault="00E73228" w:rsidP="00E73228">
            <w:pPr>
              <w:numPr>
                <w:ilvl w:val="0"/>
                <w:numId w:val="19"/>
              </w:numPr>
              <w:ind w:left="357" w:hanging="357"/>
              <w:rPr>
                <w:rFonts w:asciiTheme="minorHAnsi" w:hAnsiTheme="minorHAnsi" w:cstheme="minorHAnsi"/>
                <w:sz w:val="22"/>
                <w:szCs w:val="22"/>
              </w:rPr>
            </w:pPr>
            <w:r w:rsidRPr="000143A5">
              <w:rPr>
                <w:rFonts w:asciiTheme="minorHAnsi" w:hAnsiTheme="minorHAnsi" w:cstheme="minorHAnsi"/>
                <w:sz w:val="22"/>
                <w:szCs w:val="22"/>
              </w:rPr>
              <w:t>people who have had cancer resected within 3 to 12 months and receiving no adjuvant chemotherapy or radiotherapy are expected to be at less risk (and thus less priority) but still at increased risk compared with the non-cancer populations</w:t>
            </w:r>
          </w:p>
        </w:tc>
      </w:tr>
      <w:tr w:rsidR="009D22F0" w:rsidRPr="000143A5" w14:paraId="42F86194" w14:textId="77777777" w:rsidTr="00E73228">
        <w:trPr>
          <w:trHeight w:val="699"/>
        </w:trPr>
        <w:tc>
          <w:tcPr>
            <w:tcW w:w="2263" w:type="dxa"/>
          </w:tcPr>
          <w:p w14:paraId="2A1763F3" w14:textId="77777777" w:rsidR="00332C22" w:rsidRPr="000143A5" w:rsidRDefault="00332C22" w:rsidP="00332C22">
            <w:pPr>
              <w:pStyle w:val="Default"/>
              <w:rPr>
                <w:rFonts w:asciiTheme="minorHAnsi" w:hAnsiTheme="minorHAnsi" w:cstheme="minorHAnsi"/>
                <w:sz w:val="22"/>
                <w:szCs w:val="22"/>
              </w:rPr>
            </w:pPr>
            <w:r w:rsidRPr="000143A5">
              <w:rPr>
                <w:rFonts w:asciiTheme="minorHAnsi" w:hAnsiTheme="minorHAnsi" w:cstheme="minorHAnsi"/>
                <w:sz w:val="22"/>
                <w:szCs w:val="22"/>
              </w:rPr>
              <w:t xml:space="preserve">Patients with a haematological diseases and stem cell transplant recipients </w:t>
            </w:r>
          </w:p>
          <w:p w14:paraId="5E622815"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p>
        </w:tc>
        <w:tc>
          <w:tcPr>
            <w:tcW w:w="7230" w:type="dxa"/>
          </w:tcPr>
          <w:p w14:paraId="76A8A06B" w14:textId="77777777" w:rsidR="009D22F0" w:rsidRPr="000143A5" w:rsidRDefault="009D22F0" w:rsidP="00E73228">
            <w:pPr>
              <w:pStyle w:val="ListParagraph"/>
              <w:numPr>
                <w:ilvl w:val="0"/>
                <w:numId w:val="8"/>
              </w:numPr>
              <w:autoSpaceDE w:val="0"/>
              <w:autoSpaceDN w:val="0"/>
              <w:adjustRightInd w:val="0"/>
              <w:rPr>
                <w:rFonts w:cstheme="minorHAnsi"/>
                <w:color w:val="000000"/>
              </w:rPr>
            </w:pPr>
            <w:r w:rsidRPr="000143A5">
              <w:rPr>
                <w:rFonts w:cstheme="minorHAnsi"/>
                <w:color w:val="000000"/>
              </w:rPr>
              <w:t xml:space="preserve">Allogeneic haematopoietic stem cell transplant (HSCT) recipients in the last 12 months or active graft vs host disease (GVHD) regardless of time from transplant </w:t>
            </w:r>
            <w:r w:rsidR="00DE26AE" w:rsidRPr="000143A5">
              <w:rPr>
                <w:rFonts w:cstheme="minorHAnsi"/>
              </w:rPr>
              <w:t>(including HSCT for non-malignant diseases)</w:t>
            </w:r>
          </w:p>
          <w:p w14:paraId="3E1F0D33" w14:textId="77777777" w:rsidR="009D22F0" w:rsidRPr="000143A5" w:rsidRDefault="009D22F0" w:rsidP="00E73228">
            <w:pPr>
              <w:pStyle w:val="ListParagraph"/>
              <w:numPr>
                <w:ilvl w:val="0"/>
                <w:numId w:val="8"/>
              </w:numPr>
              <w:autoSpaceDE w:val="0"/>
              <w:autoSpaceDN w:val="0"/>
              <w:adjustRightInd w:val="0"/>
              <w:rPr>
                <w:rFonts w:cstheme="minorHAnsi"/>
                <w:color w:val="000000"/>
              </w:rPr>
            </w:pPr>
            <w:r w:rsidRPr="000143A5">
              <w:rPr>
                <w:rFonts w:cstheme="minorHAnsi"/>
                <w:color w:val="000000"/>
              </w:rPr>
              <w:t xml:space="preserve">Autologous HSCT recipients in the last 12 months </w:t>
            </w:r>
            <w:r w:rsidR="00DE26AE" w:rsidRPr="000143A5">
              <w:rPr>
                <w:rFonts w:cstheme="minorHAnsi"/>
              </w:rPr>
              <w:t>(including HSCT for non-malignant diseases)</w:t>
            </w:r>
          </w:p>
          <w:p w14:paraId="484A3FC2" w14:textId="77777777" w:rsidR="009D22F0" w:rsidRPr="000143A5" w:rsidRDefault="009D22F0" w:rsidP="00E73228">
            <w:pPr>
              <w:pStyle w:val="ListParagraph"/>
              <w:numPr>
                <w:ilvl w:val="0"/>
                <w:numId w:val="8"/>
              </w:numPr>
              <w:autoSpaceDE w:val="0"/>
              <w:autoSpaceDN w:val="0"/>
              <w:adjustRightInd w:val="0"/>
              <w:rPr>
                <w:rFonts w:cstheme="minorHAnsi"/>
                <w:color w:val="000000"/>
              </w:rPr>
            </w:pPr>
            <w:r w:rsidRPr="000143A5">
              <w:rPr>
                <w:rFonts w:cstheme="minorHAnsi"/>
                <w:color w:val="000000"/>
              </w:rPr>
              <w:t>Individuals with haematological malignancies who have</w:t>
            </w:r>
          </w:p>
          <w:p w14:paraId="637CD455" w14:textId="77777777" w:rsidR="00DE26AE" w:rsidRPr="000143A5" w:rsidRDefault="009D22F0" w:rsidP="00E73228">
            <w:pPr>
              <w:pStyle w:val="ListParagraph"/>
              <w:numPr>
                <w:ilvl w:val="1"/>
                <w:numId w:val="8"/>
              </w:numPr>
              <w:autoSpaceDE w:val="0"/>
              <w:autoSpaceDN w:val="0"/>
              <w:adjustRightInd w:val="0"/>
              <w:rPr>
                <w:rFonts w:cstheme="minorHAnsi"/>
                <w:color w:val="000000"/>
              </w:rPr>
            </w:pPr>
            <w:r w:rsidRPr="000143A5">
              <w:rPr>
                <w:rFonts w:cstheme="minorHAnsi"/>
                <w:color w:val="000000"/>
              </w:rPr>
              <w:t>received chimaeric antigen receptor (CAR)-T cell therapy in the last 24 months, or</w:t>
            </w:r>
          </w:p>
          <w:p w14:paraId="46EABF6F" w14:textId="659EF064" w:rsidR="00DE26AE" w:rsidRPr="000143A5" w:rsidRDefault="00E73228" w:rsidP="00E73228">
            <w:pPr>
              <w:pStyle w:val="ListParagraph"/>
              <w:numPr>
                <w:ilvl w:val="1"/>
                <w:numId w:val="8"/>
              </w:numPr>
              <w:autoSpaceDE w:val="0"/>
              <w:autoSpaceDN w:val="0"/>
              <w:adjustRightInd w:val="0"/>
              <w:rPr>
                <w:rFonts w:cstheme="minorHAnsi"/>
              </w:rPr>
            </w:pPr>
            <w:r w:rsidRPr="000143A5">
              <w:rPr>
                <w:rFonts w:cstheme="minorHAnsi"/>
              </w:rPr>
              <w:t>radiotherapy in the last 12</w:t>
            </w:r>
            <w:r w:rsidR="00DE26AE" w:rsidRPr="000143A5">
              <w:rPr>
                <w:rFonts w:cstheme="minorHAnsi"/>
              </w:rPr>
              <w:t xml:space="preserve"> months </w:t>
            </w:r>
          </w:p>
          <w:p w14:paraId="36BED726" w14:textId="6E1A51C0" w:rsidR="00DE26AE" w:rsidRPr="000143A5" w:rsidRDefault="00DE26AE" w:rsidP="00E73228">
            <w:pPr>
              <w:pStyle w:val="ListParagraph"/>
              <w:numPr>
                <w:ilvl w:val="0"/>
                <w:numId w:val="8"/>
              </w:numPr>
              <w:autoSpaceDE w:val="0"/>
              <w:autoSpaceDN w:val="0"/>
              <w:adjustRightInd w:val="0"/>
              <w:spacing w:after="0"/>
              <w:rPr>
                <w:rFonts w:cstheme="minorHAnsi"/>
              </w:rPr>
            </w:pPr>
            <w:r w:rsidRPr="000143A5">
              <w:rPr>
                <w:rFonts w:cstheme="minorHAnsi"/>
              </w:rPr>
              <w:t>Individuals with haematological malignancies receiving systemic anti-cancer treatment (</w:t>
            </w:r>
            <w:r w:rsidR="00E73228" w:rsidRPr="000143A5">
              <w:rPr>
                <w:rFonts w:cstheme="minorHAnsi"/>
              </w:rPr>
              <w:t>SACT) within the last 12 months</w:t>
            </w:r>
          </w:p>
          <w:p w14:paraId="5F6862EF" w14:textId="77777777" w:rsidR="00E73228" w:rsidRPr="000143A5" w:rsidRDefault="00E73228" w:rsidP="00E73228">
            <w:pPr>
              <w:numPr>
                <w:ilvl w:val="0"/>
                <w:numId w:val="8"/>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 xml:space="preserve">all people who do not fit the criteria above, and are diagnosed with: </w:t>
            </w:r>
          </w:p>
          <w:p w14:paraId="42A84D21" w14:textId="77777777" w:rsidR="00E73228" w:rsidRPr="000143A5" w:rsidRDefault="00E73228" w:rsidP="00E73228">
            <w:pPr>
              <w:numPr>
                <w:ilvl w:val="1"/>
                <w:numId w:val="8"/>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myeloma (excluding monoclonal gammopathy of undetermined significance (MGUS))</w:t>
            </w:r>
          </w:p>
          <w:p w14:paraId="4DA3D0D1" w14:textId="77777777" w:rsidR="00E73228" w:rsidRPr="000143A5" w:rsidRDefault="00E73228" w:rsidP="00E73228">
            <w:pPr>
              <w:numPr>
                <w:ilvl w:val="1"/>
                <w:numId w:val="8"/>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AL amyloidosis</w:t>
            </w:r>
          </w:p>
          <w:p w14:paraId="208EB5FF" w14:textId="77777777" w:rsidR="00E73228" w:rsidRPr="000143A5" w:rsidRDefault="00E73228" w:rsidP="00E73228">
            <w:pPr>
              <w:numPr>
                <w:ilvl w:val="1"/>
                <w:numId w:val="8"/>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chronic B-cell lymphoproliferative disorders (chronic lymphocytic leukaemia, follicular lymphoma)</w:t>
            </w:r>
          </w:p>
          <w:p w14:paraId="1DE8C9D6" w14:textId="77777777" w:rsidR="00E73228" w:rsidRPr="000143A5" w:rsidRDefault="00E73228" w:rsidP="00E73228">
            <w:pPr>
              <w:numPr>
                <w:ilvl w:val="1"/>
                <w:numId w:val="8"/>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myelodysplastic syndrome (MDS)</w:t>
            </w:r>
          </w:p>
          <w:p w14:paraId="1C38D2E9" w14:textId="77777777" w:rsidR="00E73228" w:rsidRPr="000143A5" w:rsidRDefault="00E73228" w:rsidP="00E73228">
            <w:pPr>
              <w:numPr>
                <w:ilvl w:val="1"/>
                <w:numId w:val="8"/>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chronic myelomonocytic leukaemia (CMML)</w:t>
            </w:r>
          </w:p>
          <w:p w14:paraId="02BF2099" w14:textId="3547BD60" w:rsidR="00E73228" w:rsidRPr="000143A5" w:rsidRDefault="00E73228" w:rsidP="00E73228">
            <w:pPr>
              <w:numPr>
                <w:ilvl w:val="1"/>
                <w:numId w:val="8"/>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myelofibrosis</w:t>
            </w:r>
          </w:p>
          <w:p w14:paraId="1FF59473" w14:textId="77777777" w:rsidR="00E73228" w:rsidRPr="000143A5" w:rsidRDefault="00DE26AE" w:rsidP="00E73228">
            <w:pPr>
              <w:pStyle w:val="ListParagraph"/>
              <w:numPr>
                <w:ilvl w:val="0"/>
                <w:numId w:val="8"/>
              </w:numPr>
              <w:autoSpaceDE w:val="0"/>
              <w:autoSpaceDN w:val="0"/>
              <w:adjustRightInd w:val="0"/>
              <w:spacing w:after="0"/>
              <w:ind w:left="357" w:hanging="357"/>
              <w:rPr>
                <w:rFonts w:cstheme="minorHAnsi"/>
              </w:rPr>
            </w:pPr>
            <w:r w:rsidRPr="000143A5">
              <w:rPr>
                <w:rFonts w:cstheme="minorHAnsi"/>
              </w:rPr>
              <w:t xml:space="preserve">All patients with sickle cell disease. </w:t>
            </w:r>
          </w:p>
          <w:p w14:paraId="10CBB686" w14:textId="77777777" w:rsidR="00E73228" w:rsidRPr="000143A5" w:rsidRDefault="00E73228" w:rsidP="00E73228">
            <w:pPr>
              <w:numPr>
                <w:ilvl w:val="0"/>
                <w:numId w:val="8"/>
              </w:numPr>
              <w:ind w:left="357" w:hanging="357"/>
              <w:rPr>
                <w:rFonts w:asciiTheme="minorHAnsi" w:hAnsiTheme="minorHAnsi" w:cstheme="minorHAnsi"/>
                <w:sz w:val="22"/>
                <w:szCs w:val="22"/>
              </w:rPr>
            </w:pPr>
            <w:r w:rsidRPr="000143A5">
              <w:rPr>
                <w:rFonts w:asciiTheme="minorHAnsi" w:hAnsiTheme="minorHAnsi" w:cstheme="minorHAnsi"/>
                <w:sz w:val="22"/>
                <w:szCs w:val="22"/>
              </w:rPr>
              <w:t xml:space="preserve">people with thalassaemia or rare inherited anaemia with any of the following (the decision to treat these patients will need to be at the individual patient level with input from the haematology consultant responsible for the management of the patient’s haematological condition): </w:t>
            </w:r>
          </w:p>
          <w:p w14:paraId="7225F8F6" w14:textId="77777777" w:rsidR="00E73228" w:rsidRPr="000143A5" w:rsidRDefault="00E73228" w:rsidP="00E73228">
            <w:pPr>
              <w:numPr>
                <w:ilvl w:val="1"/>
                <w:numId w:val="8"/>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severe cardiac iron overload (T2 * less than 10ms on magnetic resonance imaging)</w:t>
            </w:r>
          </w:p>
          <w:p w14:paraId="63FB77CD" w14:textId="68B4BECE" w:rsidR="00E73228" w:rsidRPr="000143A5" w:rsidRDefault="00E73228" w:rsidP="00E73228">
            <w:pPr>
              <w:numPr>
                <w:ilvl w:val="1"/>
                <w:numId w:val="8"/>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severe to moderate iron overload (T2 * greater than or equal to 10ms on magnetic resonance imaging) plus an additional co-morbidity of concern (for example, diabetes, chronic liver disease or severe hepatic iron load on MRI)</w:t>
            </w:r>
          </w:p>
          <w:p w14:paraId="0CF8E1BA" w14:textId="52FA8B0D" w:rsidR="001125B7" w:rsidRPr="000143A5" w:rsidRDefault="00DE26AE" w:rsidP="00E73228">
            <w:pPr>
              <w:pStyle w:val="ListParagraph"/>
              <w:numPr>
                <w:ilvl w:val="0"/>
                <w:numId w:val="8"/>
              </w:numPr>
              <w:autoSpaceDE w:val="0"/>
              <w:autoSpaceDN w:val="0"/>
              <w:adjustRightInd w:val="0"/>
              <w:spacing w:after="0"/>
              <w:rPr>
                <w:rFonts w:cstheme="minorHAnsi"/>
              </w:rPr>
            </w:pPr>
            <w:r w:rsidRPr="000143A5">
              <w:rPr>
                <w:rFonts w:cstheme="minorHAnsi"/>
              </w:rPr>
              <w:t xml:space="preserve">Individuals with non-malignant haematological disorder (e.g. aplastic anaemia or paroxysmal nocturnal haemoglobinuria) receiving B-cell depleting systemic treatment (e.g. anti-CD20, anti-thymocyte globulin [ATG] and alemtzumab) within the last 12 months. </w:t>
            </w:r>
          </w:p>
        </w:tc>
      </w:tr>
      <w:tr w:rsidR="009D22F0" w:rsidRPr="000143A5" w14:paraId="06A3CB56" w14:textId="77777777" w:rsidTr="00E73228">
        <w:tc>
          <w:tcPr>
            <w:tcW w:w="2263" w:type="dxa"/>
          </w:tcPr>
          <w:p w14:paraId="4DC44FC5"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Patients with renal disease </w:t>
            </w:r>
          </w:p>
        </w:tc>
        <w:tc>
          <w:tcPr>
            <w:tcW w:w="7230" w:type="dxa"/>
          </w:tcPr>
          <w:p w14:paraId="7F350CB5" w14:textId="77777777" w:rsidR="009D22F0" w:rsidRPr="000143A5" w:rsidRDefault="009D22F0" w:rsidP="00332C22">
            <w:pPr>
              <w:pStyle w:val="ListParagraph"/>
              <w:numPr>
                <w:ilvl w:val="0"/>
                <w:numId w:val="9"/>
              </w:numPr>
              <w:autoSpaceDE w:val="0"/>
              <w:autoSpaceDN w:val="0"/>
              <w:adjustRightInd w:val="0"/>
              <w:rPr>
                <w:rFonts w:cstheme="minorHAnsi"/>
                <w:color w:val="000000"/>
              </w:rPr>
            </w:pPr>
            <w:r w:rsidRPr="000143A5">
              <w:rPr>
                <w:rFonts w:cstheme="minorHAnsi"/>
                <w:color w:val="000000"/>
              </w:rPr>
              <w:t>Renal transplant recipients (including those with failed transplants within the past 12 months), particularly those who:</w:t>
            </w:r>
          </w:p>
          <w:p w14:paraId="31357B48" w14:textId="77777777" w:rsidR="009D22F0" w:rsidRPr="000143A5" w:rsidRDefault="009D22F0" w:rsidP="00332C22">
            <w:pPr>
              <w:pStyle w:val="ListParagraph"/>
              <w:numPr>
                <w:ilvl w:val="1"/>
                <w:numId w:val="9"/>
              </w:numPr>
              <w:autoSpaceDE w:val="0"/>
              <w:autoSpaceDN w:val="0"/>
              <w:adjustRightInd w:val="0"/>
              <w:rPr>
                <w:rFonts w:cstheme="minorHAnsi"/>
                <w:color w:val="000000"/>
              </w:rPr>
            </w:pPr>
            <w:r w:rsidRPr="000143A5">
              <w:rPr>
                <w:rFonts w:cstheme="minorHAnsi"/>
                <w:color w:val="000000"/>
              </w:rPr>
              <w:t xml:space="preserve">Received B cell depleting therapy within the past 12 months (including alemtuzumab, rituximab [anti-CD20], anti-thymocyte globulin) </w:t>
            </w:r>
          </w:p>
          <w:p w14:paraId="6BC758FD" w14:textId="77777777" w:rsidR="009D22F0" w:rsidRPr="000143A5" w:rsidRDefault="009D22F0" w:rsidP="00332C22">
            <w:pPr>
              <w:pStyle w:val="ListParagraph"/>
              <w:numPr>
                <w:ilvl w:val="1"/>
                <w:numId w:val="9"/>
              </w:numPr>
              <w:autoSpaceDE w:val="0"/>
              <w:autoSpaceDN w:val="0"/>
              <w:adjustRightInd w:val="0"/>
              <w:rPr>
                <w:rFonts w:cstheme="minorHAnsi"/>
                <w:color w:val="000000"/>
              </w:rPr>
            </w:pPr>
            <w:r w:rsidRPr="000143A5">
              <w:rPr>
                <w:rFonts w:cstheme="minorHAnsi"/>
                <w:color w:val="000000"/>
              </w:rPr>
              <w:t xml:space="preserve">Have an additional substantial risk factor which would in isolation make them eligible for nMABs or oral antivirals </w:t>
            </w:r>
          </w:p>
          <w:p w14:paraId="59ADC7F6" w14:textId="77777777" w:rsidR="009D22F0" w:rsidRPr="000143A5" w:rsidRDefault="009D22F0" w:rsidP="00332C22">
            <w:pPr>
              <w:pStyle w:val="ListParagraph"/>
              <w:numPr>
                <w:ilvl w:val="1"/>
                <w:numId w:val="9"/>
              </w:numPr>
              <w:autoSpaceDE w:val="0"/>
              <w:autoSpaceDN w:val="0"/>
              <w:adjustRightInd w:val="0"/>
              <w:rPr>
                <w:rFonts w:cstheme="minorHAnsi"/>
                <w:color w:val="000000"/>
              </w:rPr>
            </w:pPr>
            <w:r w:rsidRPr="000143A5">
              <w:rPr>
                <w:rFonts w:cstheme="minorHAnsi"/>
                <w:color w:val="000000"/>
              </w:rPr>
              <w:t>Not been vaccinated prior to transplantation</w:t>
            </w:r>
          </w:p>
          <w:p w14:paraId="7ADD117D" w14:textId="2292FA73" w:rsidR="009D22F0" w:rsidRPr="000143A5" w:rsidRDefault="009D22F0" w:rsidP="00332C22">
            <w:pPr>
              <w:pStyle w:val="ListParagraph"/>
              <w:numPr>
                <w:ilvl w:val="0"/>
                <w:numId w:val="9"/>
              </w:numPr>
              <w:autoSpaceDE w:val="0"/>
              <w:autoSpaceDN w:val="0"/>
              <w:adjustRightInd w:val="0"/>
              <w:rPr>
                <w:rFonts w:cstheme="minorHAnsi"/>
                <w:color w:val="000000"/>
              </w:rPr>
            </w:pPr>
            <w:r w:rsidRPr="000143A5">
              <w:rPr>
                <w:rFonts w:cstheme="minorHAnsi"/>
                <w:color w:val="000000"/>
              </w:rPr>
              <w:lastRenderedPageBreak/>
              <w:t>Non-transplant patients who have received a comparable level of immunosuppression</w:t>
            </w:r>
            <w:r w:rsidR="00E73228" w:rsidRPr="000143A5">
              <w:rPr>
                <w:rFonts w:eastAsia="Times New Roman" w:cstheme="minorHAnsi"/>
                <w:lang w:eastAsia="en-GB"/>
              </w:rPr>
              <w:t>. Please refer to the section on ‘Immune-mediated inflammatory diseases’ below for a list of qualifying immunosuppressive therapies</w:t>
            </w:r>
            <w:r w:rsidRPr="000143A5">
              <w:rPr>
                <w:rFonts w:cstheme="minorHAnsi"/>
                <w:color w:val="000000"/>
              </w:rPr>
              <w:t xml:space="preserve"> </w:t>
            </w:r>
          </w:p>
          <w:p w14:paraId="0DF4E28C" w14:textId="77777777" w:rsidR="009D22F0" w:rsidRPr="000143A5" w:rsidRDefault="009D22F0" w:rsidP="00332C22">
            <w:pPr>
              <w:pStyle w:val="ListParagraph"/>
              <w:numPr>
                <w:ilvl w:val="0"/>
                <w:numId w:val="9"/>
              </w:numPr>
              <w:autoSpaceDE w:val="0"/>
              <w:autoSpaceDN w:val="0"/>
              <w:adjustRightInd w:val="0"/>
              <w:spacing w:after="0"/>
              <w:ind w:left="357" w:hanging="357"/>
              <w:rPr>
                <w:rFonts w:cstheme="minorHAnsi"/>
                <w:color w:val="000000"/>
              </w:rPr>
            </w:pPr>
            <w:r w:rsidRPr="000143A5">
              <w:rPr>
                <w:rFonts w:cstheme="minorHAnsi"/>
                <w:color w:val="000000"/>
              </w:rPr>
              <w:t>Patients with chronic kidney stage (CKD) 4 or 5 (an eGFR less than 30 ml/min/1.73m2) without immunosuppression</w:t>
            </w:r>
          </w:p>
        </w:tc>
      </w:tr>
      <w:tr w:rsidR="009D22F0" w:rsidRPr="000143A5" w14:paraId="3C837ED3" w14:textId="77777777" w:rsidTr="00E73228">
        <w:tc>
          <w:tcPr>
            <w:tcW w:w="2263" w:type="dxa"/>
          </w:tcPr>
          <w:p w14:paraId="54BC57BD"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lastRenderedPageBreak/>
              <w:t xml:space="preserve">Patients with liver disease </w:t>
            </w:r>
          </w:p>
        </w:tc>
        <w:tc>
          <w:tcPr>
            <w:tcW w:w="7230" w:type="dxa"/>
          </w:tcPr>
          <w:p w14:paraId="587EE206" w14:textId="41CC783C" w:rsidR="009D22F0" w:rsidRPr="000143A5" w:rsidRDefault="009D22F0" w:rsidP="00332C22">
            <w:pPr>
              <w:pStyle w:val="ListParagraph"/>
              <w:numPr>
                <w:ilvl w:val="0"/>
                <w:numId w:val="10"/>
              </w:numPr>
              <w:autoSpaceDE w:val="0"/>
              <w:autoSpaceDN w:val="0"/>
              <w:adjustRightInd w:val="0"/>
              <w:rPr>
                <w:rFonts w:cstheme="minorHAnsi"/>
                <w:color w:val="000000"/>
              </w:rPr>
            </w:pPr>
            <w:r w:rsidRPr="000143A5">
              <w:rPr>
                <w:rFonts w:cstheme="minorHAnsi"/>
                <w:color w:val="000000"/>
              </w:rPr>
              <w:t xml:space="preserve">Patients with cirrhosis Child’s-Pugh class </w:t>
            </w:r>
            <w:r w:rsidR="00E73228" w:rsidRPr="000143A5">
              <w:rPr>
                <w:rFonts w:cstheme="minorHAnsi"/>
                <w:color w:val="000000"/>
              </w:rPr>
              <w:t xml:space="preserve">A, </w:t>
            </w:r>
            <w:r w:rsidRPr="000143A5">
              <w:rPr>
                <w:rFonts w:cstheme="minorHAnsi"/>
                <w:color w:val="000000"/>
              </w:rPr>
              <w:t>B and C</w:t>
            </w:r>
            <w:r w:rsidR="00E73228" w:rsidRPr="000143A5">
              <w:rPr>
                <w:rFonts w:cstheme="minorHAnsi"/>
                <w:color w:val="000000"/>
              </w:rPr>
              <w:t xml:space="preserve">, </w:t>
            </w:r>
            <w:r w:rsidR="00E73228" w:rsidRPr="000143A5">
              <w:rPr>
                <w:rFonts w:eastAsia="Times New Roman" w:cstheme="minorHAnsi"/>
                <w:lang w:eastAsia="en-GB"/>
              </w:rPr>
              <w:t>whether receiving immune suppressive therapy or not. Those with decompensated liver disease (Child-Pugh B and C) are at greatest risk</w:t>
            </w:r>
            <w:r w:rsidRPr="000143A5">
              <w:rPr>
                <w:rFonts w:cstheme="minorHAnsi"/>
                <w:color w:val="000000"/>
              </w:rPr>
              <w:t xml:space="preserve"> </w:t>
            </w:r>
          </w:p>
          <w:p w14:paraId="16B1DD65" w14:textId="77777777" w:rsidR="009D22F0" w:rsidRPr="000143A5" w:rsidRDefault="009D22F0" w:rsidP="00332C22">
            <w:pPr>
              <w:pStyle w:val="ListParagraph"/>
              <w:numPr>
                <w:ilvl w:val="0"/>
                <w:numId w:val="10"/>
              </w:numPr>
              <w:autoSpaceDE w:val="0"/>
              <w:autoSpaceDN w:val="0"/>
              <w:adjustRightInd w:val="0"/>
              <w:rPr>
                <w:rFonts w:cstheme="minorHAnsi"/>
                <w:color w:val="000000"/>
              </w:rPr>
            </w:pPr>
            <w:r w:rsidRPr="000143A5">
              <w:rPr>
                <w:rFonts w:cstheme="minorHAnsi"/>
                <w:color w:val="000000"/>
              </w:rPr>
              <w:t xml:space="preserve">Patients with a liver transplant </w:t>
            </w:r>
          </w:p>
          <w:p w14:paraId="1A8A08E2" w14:textId="1C69CDD8" w:rsidR="009D22F0" w:rsidRPr="000143A5" w:rsidRDefault="009D22F0" w:rsidP="00E73228">
            <w:pPr>
              <w:pStyle w:val="ListParagraph"/>
              <w:numPr>
                <w:ilvl w:val="0"/>
                <w:numId w:val="9"/>
              </w:numPr>
              <w:autoSpaceDE w:val="0"/>
              <w:autoSpaceDN w:val="0"/>
              <w:adjustRightInd w:val="0"/>
              <w:spacing w:after="0"/>
              <w:ind w:left="357" w:hanging="357"/>
              <w:rPr>
                <w:rFonts w:cstheme="minorHAnsi"/>
                <w:color w:val="000000"/>
              </w:rPr>
            </w:pPr>
            <w:r w:rsidRPr="000143A5">
              <w:rPr>
                <w:rFonts w:cstheme="minorHAnsi"/>
                <w:color w:val="000000"/>
              </w:rPr>
              <w:t>Liver patients on immune suppressive therapy (including patients with and without liver cirrhosis)</w:t>
            </w:r>
            <w:r w:rsidR="00E73228" w:rsidRPr="000143A5">
              <w:rPr>
                <w:rFonts w:cstheme="minorHAnsi"/>
                <w:color w:val="000000"/>
              </w:rPr>
              <w:t xml:space="preserve">. </w:t>
            </w:r>
            <w:r w:rsidR="00E73228" w:rsidRPr="000143A5">
              <w:rPr>
                <w:rFonts w:eastAsia="Times New Roman" w:cstheme="minorHAnsi"/>
                <w:lang w:eastAsia="en-GB"/>
              </w:rPr>
              <w:t>Please refer to the section on ‘Immune-mediated inflammatory diseases’ below for a list of qualifying immunosuppressive therapies</w:t>
            </w:r>
            <w:r w:rsidR="00E73228" w:rsidRPr="000143A5">
              <w:rPr>
                <w:rFonts w:cstheme="minorHAnsi"/>
                <w:color w:val="000000"/>
              </w:rPr>
              <w:t xml:space="preserve"> </w:t>
            </w:r>
          </w:p>
        </w:tc>
      </w:tr>
      <w:tr w:rsidR="009D22F0" w:rsidRPr="000143A5" w14:paraId="2902B283" w14:textId="77777777" w:rsidTr="00E73228">
        <w:tc>
          <w:tcPr>
            <w:tcW w:w="2263" w:type="dxa"/>
          </w:tcPr>
          <w:p w14:paraId="1BA52B63"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Patients with immune-mediated inflammatory disorders (IMID) </w:t>
            </w:r>
          </w:p>
        </w:tc>
        <w:tc>
          <w:tcPr>
            <w:tcW w:w="7230" w:type="dxa"/>
          </w:tcPr>
          <w:p w14:paraId="3CD4B3B9" w14:textId="77777777" w:rsidR="00E73228" w:rsidRPr="000143A5" w:rsidRDefault="00E73228" w:rsidP="00E73228">
            <w:pPr>
              <w:numPr>
                <w:ilvl w:val="0"/>
                <w:numId w:val="11"/>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people who have received a B-cell depleting therapy (anti-CD20 drug for example rituximab, ocrelizumab, ofatumab, obinutuzumab) in the last 12 months</w:t>
            </w:r>
          </w:p>
          <w:p w14:paraId="46FF8E5B" w14:textId="77777777" w:rsidR="00E73228" w:rsidRPr="000143A5" w:rsidRDefault="00E73228" w:rsidP="00E73228">
            <w:pPr>
              <w:numPr>
                <w:ilvl w:val="0"/>
                <w:numId w:val="11"/>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people who have been treated with cyclophosphamide (IV or oral) in the 6 months prior to positive PCR</w:t>
            </w:r>
          </w:p>
          <w:p w14:paraId="55052435" w14:textId="77777777" w:rsidR="00E73228" w:rsidRPr="000143A5" w:rsidRDefault="00E73228" w:rsidP="00E73228">
            <w:pPr>
              <w:numPr>
                <w:ilvl w:val="0"/>
                <w:numId w:val="11"/>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people who are on biologics or small molecule JAK-inhibitors (except anti-CD20 depleting monoclonal antibodies) or who have received these therapies within the last 6 months</w:t>
            </w:r>
          </w:p>
          <w:p w14:paraId="414AD55A" w14:textId="77777777" w:rsidR="00E73228" w:rsidRPr="000143A5" w:rsidRDefault="00E73228" w:rsidP="00E73228">
            <w:pPr>
              <w:numPr>
                <w:ilvl w:val="0"/>
                <w:numId w:val="11"/>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people who are on corticosteroids (equivalent to greater than 10mg per day of prednisolone) for at least the 28 days prior to positive PCR</w:t>
            </w:r>
          </w:p>
          <w:p w14:paraId="6EE7BE33" w14:textId="77777777" w:rsidR="00E73228" w:rsidRPr="000143A5" w:rsidRDefault="00E73228" w:rsidP="00E73228">
            <w:pPr>
              <w:numPr>
                <w:ilvl w:val="0"/>
                <w:numId w:val="11"/>
              </w:numPr>
              <w:spacing w:before="100" w:beforeAutospacing="1" w:after="100" w:afterAutospacing="1"/>
              <w:rPr>
                <w:rFonts w:asciiTheme="minorHAnsi" w:hAnsiTheme="minorHAnsi" w:cstheme="minorHAnsi"/>
                <w:sz w:val="22"/>
                <w:szCs w:val="22"/>
              </w:rPr>
            </w:pPr>
            <w:r w:rsidRPr="000143A5">
              <w:rPr>
                <w:rFonts w:asciiTheme="minorHAnsi" w:hAnsiTheme="minorHAnsi" w:cstheme="minorHAnsi"/>
                <w:sz w:val="22"/>
                <w:szCs w:val="22"/>
              </w:rPr>
              <w:t>people who are on current treatment with mycophenolate mofetil, oral tacrolimus, azathioprine/mercaptopurine (for major organ involvement such as kidney, liver and/or interstitial lung disease), methotrexate (for interstitial lung disease) and/or ciclosporin</w:t>
            </w:r>
          </w:p>
          <w:p w14:paraId="72EA7E78" w14:textId="58923FE5" w:rsidR="009D22F0" w:rsidRPr="000143A5" w:rsidRDefault="00E73228" w:rsidP="00E73228">
            <w:pPr>
              <w:numPr>
                <w:ilvl w:val="0"/>
                <w:numId w:val="11"/>
              </w:numPr>
              <w:spacing w:before="100" w:beforeAutospacing="1"/>
              <w:rPr>
                <w:rFonts w:asciiTheme="minorHAnsi" w:hAnsiTheme="minorHAnsi" w:cstheme="minorHAnsi"/>
                <w:sz w:val="22"/>
                <w:szCs w:val="22"/>
              </w:rPr>
            </w:pPr>
            <w:r w:rsidRPr="000143A5">
              <w:rPr>
                <w:rFonts w:asciiTheme="minorHAnsi" w:hAnsiTheme="minorHAnsi" w:cstheme="minorHAnsi"/>
                <w:sz w:val="22"/>
                <w:szCs w:val="22"/>
              </w:rPr>
              <w:t>people who exhibit at least one of: (a) uncontrolled or clinically active disease (that is required recent increase in dose or initiation of new immunosuppressive drug or IM steroid injection or course of oral steroids within the 3 months prior to positive PCR); and/or (b) major organ involvement such as significant kidney, liver or lung inflammation or significantly impaired renal, liver and/or lung function)</w:t>
            </w:r>
          </w:p>
        </w:tc>
      </w:tr>
      <w:tr w:rsidR="009D22F0" w:rsidRPr="000143A5" w14:paraId="18CA4ABC" w14:textId="77777777" w:rsidTr="00E73228">
        <w:tc>
          <w:tcPr>
            <w:tcW w:w="2263" w:type="dxa"/>
          </w:tcPr>
          <w:p w14:paraId="67871B3D"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Primary immune deficiencies </w:t>
            </w:r>
          </w:p>
        </w:tc>
        <w:tc>
          <w:tcPr>
            <w:tcW w:w="7230" w:type="dxa"/>
          </w:tcPr>
          <w:p w14:paraId="452CD039" w14:textId="77777777" w:rsidR="009D22F0" w:rsidRPr="000143A5" w:rsidRDefault="009D22F0" w:rsidP="00332C22">
            <w:pPr>
              <w:pStyle w:val="ListParagraph"/>
              <w:numPr>
                <w:ilvl w:val="0"/>
                <w:numId w:val="12"/>
              </w:numPr>
              <w:autoSpaceDE w:val="0"/>
              <w:autoSpaceDN w:val="0"/>
              <w:adjustRightInd w:val="0"/>
              <w:rPr>
                <w:rFonts w:cstheme="minorHAnsi"/>
                <w:color w:val="000000"/>
              </w:rPr>
            </w:pPr>
            <w:r w:rsidRPr="000143A5">
              <w:rPr>
                <w:rFonts w:cstheme="minorHAnsi"/>
                <w:color w:val="000000"/>
              </w:rPr>
              <w:t>Common variable immunodeficiency (CVID)</w:t>
            </w:r>
          </w:p>
          <w:p w14:paraId="633CE51C" w14:textId="77777777" w:rsidR="009D22F0" w:rsidRPr="000143A5" w:rsidRDefault="009D22F0" w:rsidP="00332C22">
            <w:pPr>
              <w:pStyle w:val="ListParagraph"/>
              <w:numPr>
                <w:ilvl w:val="0"/>
                <w:numId w:val="12"/>
              </w:numPr>
              <w:autoSpaceDE w:val="0"/>
              <w:autoSpaceDN w:val="0"/>
              <w:adjustRightInd w:val="0"/>
              <w:rPr>
                <w:rFonts w:cstheme="minorHAnsi"/>
                <w:color w:val="000000"/>
              </w:rPr>
            </w:pPr>
            <w:r w:rsidRPr="000143A5">
              <w:rPr>
                <w:rFonts w:cstheme="minorHAnsi"/>
                <w:color w:val="000000"/>
              </w:rPr>
              <w:t xml:space="preserve">Undefined primary antibody deficiency on immunoglobulin (or eligible for Ig) </w:t>
            </w:r>
          </w:p>
          <w:p w14:paraId="322E4B2C" w14:textId="77777777" w:rsidR="009D22F0" w:rsidRPr="000143A5" w:rsidRDefault="009D22F0" w:rsidP="00332C22">
            <w:pPr>
              <w:pStyle w:val="ListParagraph"/>
              <w:numPr>
                <w:ilvl w:val="0"/>
                <w:numId w:val="12"/>
              </w:numPr>
              <w:autoSpaceDE w:val="0"/>
              <w:autoSpaceDN w:val="0"/>
              <w:adjustRightInd w:val="0"/>
              <w:rPr>
                <w:rFonts w:cstheme="minorHAnsi"/>
                <w:color w:val="000000"/>
              </w:rPr>
            </w:pPr>
            <w:r w:rsidRPr="000143A5">
              <w:rPr>
                <w:rFonts w:cstheme="minorHAnsi"/>
                <w:color w:val="000000"/>
              </w:rPr>
              <w:t xml:space="preserve">Hyper-IgM syndromes </w:t>
            </w:r>
          </w:p>
          <w:p w14:paraId="3506B552" w14:textId="77777777" w:rsidR="009D22F0" w:rsidRPr="000143A5" w:rsidRDefault="009D22F0" w:rsidP="00332C22">
            <w:pPr>
              <w:pStyle w:val="ListParagraph"/>
              <w:numPr>
                <w:ilvl w:val="0"/>
                <w:numId w:val="12"/>
              </w:numPr>
              <w:autoSpaceDE w:val="0"/>
              <w:autoSpaceDN w:val="0"/>
              <w:adjustRightInd w:val="0"/>
              <w:rPr>
                <w:rFonts w:cstheme="minorHAnsi"/>
                <w:color w:val="000000"/>
              </w:rPr>
            </w:pPr>
            <w:r w:rsidRPr="000143A5">
              <w:rPr>
                <w:rFonts w:cstheme="minorHAnsi"/>
                <w:color w:val="000000"/>
              </w:rPr>
              <w:t>Good’s syndrome (thymoma plus B-cell deficiency)</w:t>
            </w:r>
          </w:p>
          <w:p w14:paraId="5D66D890" w14:textId="77777777" w:rsidR="009D22F0" w:rsidRPr="000143A5" w:rsidRDefault="009D22F0" w:rsidP="00332C22">
            <w:pPr>
              <w:pStyle w:val="ListParagraph"/>
              <w:numPr>
                <w:ilvl w:val="0"/>
                <w:numId w:val="12"/>
              </w:numPr>
              <w:autoSpaceDE w:val="0"/>
              <w:autoSpaceDN w:val="0"/>
              <w:adjustRightInd w:val="0"/>
              <w:rPr>
                <w:rFonts w:cstheme="minorHAnsi"/>
                <w:color w:val="000000"/>
              </w:rPr>
            </w:pPr>
            <w:r w:rsidRPr="000143A5">
              <w:rPr>
                <w:rFonts w:cstheme="minorHAnsi"/>
                <w:color w:val="000000"/>
              </w:rPr>
              <w:t>Severe Combined Immunodeficiency (SCID)</w:t>
            </w:r>
          </w:p>
          <w:p w14:paraId="4D8EFAFB" w14:textId="77777777" w:rsidR="009D22F0" w:rsidRPr="000143A5" w:rsidRDefault="009D22F0" w:rsidP="00332C22">
            <w:pPr>
              <w:pStyle w:val="ListParagraph"/>
              <w:numPr>
                <w:ilvl w:val="0"/>
                <w:numId w:val="12"/>
              </w:numPr>
              <w:autoSpaceDE w:val="0"/>
              <w:autoSpaceDN w:val="0"/>
              <w:adjustRightInd w:val="0"/>
              <w:rPr>
                <w:rFonts w:cstheme="minorHAnsi"/>
                <w:color w:val="000000"/>
              </w:rPr>
            </w:pPr>
            <w:r w:rsidRPr="000143A5">
              <w:rPr>
                <w:rFonts w:cstheme="minorHAnsi"/>
                <w:color w:val="000000"/>
              </w:rPr>
              <w:t xml:space="preserve">Autoimmune polyglandular syndromes/autoimmune polyendocrinopathy, candidiasis, ectodermal dystrophy (APECED syndrome) </w:t>
            </w:r>
          </w:p>
          <w:p w14:paraId="013F53E4" w14:textId="77777777" w:rsidR="009D22F0" w:rsidRPr="000143A5" w:rsidRDefault="009D22F0" w:rsidP="00332C22">
            <w:pPr>
              <w:pStyle w:val="ListParagraph"/>
              <w:numPr>
                <w:ilvl w:val="0"/>
                <w:numId w:val="12"/>
              </w:numPr>
              <w:autoSpaceDE w:val="0"/>
              <w:autoSpaceDN w:val="0"/>
              <w:adjustRightInd w:val="0"/>
              <w:rPr>
                <w:rFonts w:cstheme="minorHAnsi"/>
                <w:color w:val="000000"/>
              </w:rPr>
            </w:pPr>
            <w:r w:rsidRPr="000143A5">
              <w:rPr>
                <w:rFonts w:cstheme="minorHAnsi"/>
                <w:color w:val="000000"/>
              </w:rPr>
              <w:t xml:space="preserve">Primary immunodeficiency associated with impaired type I interferon signalling </w:t>
            </w:r>
          </w:p>
          <w:p w14:paraId="7CA1E5EB" w14:textId="77777777" w:rsidR="009D22F0" w:rsidRPr="000143A5" w:rsidRDefault="009D22F0" w:rsidP="00332C22">
            <w:pPr>
              <w:pStyle w:val="ListParagraph"/>
              <w:numPr>
                <w:ilvl w:val="0"/>
                <w:numId w:val="12"/>
              </w:numPr>
              <w:autoSpaceDE w:val="0"/>
              <w:autoSpaceDN w:val="0"/>
              <w:adjustRightInd w:val="0"/>
              <w:spacing w:after="0"/>
              <w:ind w:left="357" w:hanging="357"/>
              <w:rPr>
                <w:rFonts w:cstheme="minorHAnsi"/>
                <w:color w:val="000000"/>
              </w:rPr>
            </w:pPr>
            <w:r w:rsidRPr="000143A5">
              <w:rPr>
                <w:rFonts w:cstheme="minorHAnsi"/>
                <w:color w:val="000000"/>
              </w:rPr>
              <w:t xml:space="preserve">X-linked agammaglobulinaemia (and other primary agammaglobulinaemias) </w:t>
            </w:r>
          </w:p>
          <w:p w14:paraId="75820A19" w14:textId="699C5D14" w:rsidR="00531188" w:rsidRPr="000143A5" w:rsidRDefault="00531188" w:rsidP="00332C22">
            <w:pPr>
              <w:pStyle w:val="ListParagraph"/>
              <w:numPr>
                <w:ilvl w:val="0"/>
                <w:numId w:val="12"/>
              </w:numPr>
              <w:autoSpaceDE w:val="0"/>
              <w:autoSpaceDN w:val="0"/>
              <w:adjustRightInd w:val="0"/>
              <w:spacing w:after="0"/>
              <w:ind w:left="357" w:hanging="357"/>
              <w:rPr>
                <w:rFonts w:cstheme="minorHAnsi"/>
                <w:color w:val="000000"/>
              </w:rPr>
            </w:pPr>
            <w:r w:rsidRPr="000143A5">
              <w:rPr>
                <w:rStyle w:val="markedcontent"/>
                <w:rFonts w:cstheme="minorHAnsi"/>
              </w:rPr>
              <w:t>Any patient with a secondary immunodeficiency</w:t>
            </w:r>
            <w:r w:rsidRPr="000143A5">
              <w:rPr>
                <w:rFonts w:cstheme="minorHAnsi"/>
              </w:rPr>
              <w:br/>
            </w:r>
            <w:r w:rsidRPr="000143A5">
              <w:rPr>
                <w:rStyle w:val="markedcontent"/>
                <w:rFonts w:cstheme="minorHAnsi"/>
              </w:rPr>
              <w:t>receiving, or eligible for, immunoglobulin</w:t>
            </w:r>
            <w:r w:rsidRPr="000143A5">
              <w:rPr>
                <w:rFonts w:cstheme="minorHAnsi"/>
              </w:rPr>
              <w:br/>
            </w:r>
            <w:r w:rsidRPr="000143A5">
              <w:rPr>
                <w:rStyle w:val="markedcontent"/>
                <w:rFonts w:cstheme="minorHAnsi"/>
              </w:rPr>
              <w:t>replacement therapy</w:t>
            </w:r>
          </w:p>
        </w:tc>
      </w:tr>
      <w:tr w:rsidR="009D22F0" w:rsidRPr="000143A5" w14:paraId="211D1F75" w14:textId="77777777" w:rsidTr="00E73228">
        <w:tc>
          <w:tcPr>
            <w:tcW w:w="2263" w:type="dxa"/>
          </w:tcPr>
          <w:p w14:paraId="23A1D1A9"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HIV/AIDS </w:t>
            </w:r>
          </w:p>
        </w:tc>
        <w:tc>
          <w:tcPr>
            <w:tcW w:w="7230" w:type="dxa"/>
          </w:tcPr>
          <w:p w14:paraId="11F4FF30" w14:textId="77777777" w:rsidR="009D22F0" w:rsidRPr="000143A5" w:rsidRDefault="009D22F0" w:rsidP="00332C22">
            <w:pPr>
              <w:pStyle w:val="ListParagraph"/>
              <w:numPr>
                <w:ilvl w:val="0"/>
                <w:numId w:val="13"/>
              </w:numPr>
              <w:autoSpaceDE w:val="0"/>
              <w:autoSpaceDN w:val="0"/>
              <w:adjustRightInd w:val="0"/>
              <w:rPr>
                <w:rFonts w:cstheme="minorHAnsi"/>
                <w:color w:val="000000"/>
              </w:rPr>
            </w:pPr>
            <w:r w:rsidRPr="000143A5">
              <w:rPr>
                <w:rFonts w:cstheme="minorHAnsi"/>
                <w:color w:val="000000"/>
              </w:rPr>
              <w:t xml:space="preserve">Patients with high levels of immune suppression, have uncontrolled/untreated HIV (high viral load) or present acutely with an AIDS defining diagnosis </w:t>
            </w:r>
          </w:p>
          <w:p w14:paraId="7EEE9027" w14:textId="77777777" w:rsidR="009D22F0" w:rsidRPr="000143A5" w:rsidRDefault="009D22F0" w:rsidP="00332C22">
            <w:pPr>
              <w:pStyle w:val="ListParagraph"/>
              <w:numPr>
                <w:ilvl w:val="0"/>
                <w:numId w:val="13"/>
              </w:numPr>
              <w:autoSpaceDE w:val="0"/>
              <w:autoSpaceDN w:val="0"/>
              <w:adjustRightInd w:val="0"/>
              <w:spacing w:after="0"/>
              <w:ind w:left="357" w:hanging="357"/>
              <w:rPr>
                <w:rFonts w:cstheme="minorHAnsi"/>
                <w:color w:val="000000"/>
              </w:rPr>
            </w:pPr>
            <w:r w:rsidRPr="000143A5">
              <w:rPr>
                <w:rFonts w:cstheme="minorHAnsi"/>
                <w:color w:val="000000"/>
              </w:rPr>
              <w:t>On treatment for HIV with CD4 &lt;350 cells/mm</w:t>
            </w:r>
            <w:r w:rsidRPr="000143A5">
              <w:rPr>
                <w:rFonts w:cstheme="minorHAnsi"/>
                <w:color w:val="000000"/>
                <w:vertAlign w:val="superscript"/>
              </w:rPr>
              <w:t>3</w:t>
            </w:r>
            <w:r w:rsidRPr="000143A5">
              <w:rPr>
                <w:rFonts w:cstheme="minorHAnsi"/>
                <w:color w:val="000000"/>
              </w:rPr>
              <w:t xml:space="preserve"> and stable on HIV treatment or CD4&gt;350 cells/mm</w:t>
            </w:r>
            <w:r w:rsidRPr="000143A5">
              <w:rPr>
                <w:rFonts w:cstheme="minorHAnsi"/>
                <w:color w:val="000000"/>
                <w:vertAlign w:val="superscript"/>
              </w:rPr>
              <w:t>3</w:t>
            </w:r>
            <w:r w:rsidRPr="000143A5">
              <w:rPr>
                <w:rFonts w:cstheme="minorHAnsi"/>
                <w:color w:val="000000"/>
              </w:rPr>
              <w:t xml:space="preserve"> and additional risk factors (e.g. age, diabetes, obesity, cardiovascular, liver or renal disease, homeless, those with alcohol-dependence) </w:t>
            </w:r>
          </w:p>
        </w:tc>
      </w:tr>
      <w:tr w:rsidR="009D22F0" w:rsidRPr="000143A5" w14:paraId="751CF579" w14:textId="77777777" w:rsidTr="00E73228">
        <w:tc>
          <w:tcPr>
            <w:tcW w:w="2263" w:type="dxa"/>
          </w:tcPr>
          <w:p w14:paraId="754C8592"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Solid organ transplant recipients </w:t>
            </w:r>
          </w:p>
        </w:tc>
        <w:tc>
          <w:tcPr>
            <w:tcW w:w="7230" w:type="dxa"/>
          </w:tcPr>
          <w:p w14:paraId="13AD297A"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All recipients of solid organ transplants not otherwise specified above </w:t>
            </w:r>
          </w:p>
        </w:tc>
      </w:tr>
      <w:tr w:rsidR="009D22F0" w:rsidRPr="000143A5" w14:paraId="2F33E5D1" w14:textId="77777777" w:rsidTr="00E73228">
        <w:tc>
          <w:tcPr>
            <w:tcW w:w="2263" w:type="dxa"/>
          </w:tcPr>
          <w:p w14:paraId="73022016"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Rare neurological conditions </w:t>
            </w:r>
          </w:p>
        </w:tc>
        <w:tc>
          <w:tcPr>
            <w:tcW w:w="7230" w:type="dxa"/>
          </w:tcPr>
          <w:p w14:paraId="3395D305" w14:textId="77777777" w:rsidR="009D22F0" w:rsidRPr="000143A5" w:rsidRDefault="009D22F0" w:rsidP="00332C22">
            <w:pPr>
              <w:pStyle w:val="ListParagraph"/>
              <w:numPr>
                <w:ilvl w:val="0"/>
                <w:numId w:val="14"/>
              </w:numPr>
              <w:autoSpaceDE w:val="0"/>
              <w:autoSpaceDN w:val="0"/>
              <w:adjustRightInd w:val="0"/>
              <w:rPr>
                <w:rFonts w:cstheme="minorHAnsi"/>
                <w:color w:val="000000"/>
              </w:rPr>
            </w:pPr>
            <w:r w:rsidRPr="000143A5">
              <w:rPr>
                <w:rFonts w:cstheme="minorHAnsi"/>
                <w:color w:val="000000"/>
              </w:rPr>
              <w:t xml:space="preserve">Multiple sclerosis </w:t>
            </w:r>
          </w:p>
          <w:p w14:paraId="15CD375E" w14:textId="77777777" w:rsidR="009D22F0" w:rsidRPr="000143A5" w:rsidRDefault="009D22F0" w:rsidP="00332C22">
            <w:pPr>
              <w:pStyle w:val="ListParagraph"/>
              <w:numPr>
                <w:ilvl w:val="0"/>
                <w:numId w:val="14"/>
              </w:numPr>
              <w:autoSpaceDE w:val="0"/>
              <w:autoSpaceDN w:val="0"/>
              <w:adjustRightInd w:val="0"/>
              <w:rPr>
                <w:rFonts w:cstheme="minorHAnsi"/>
                <w:color w:val="000000"/>
              </w:rPr>
            </w:pPr>
            <w:r w:rsidRPr="000143A5">
              <w:rPr>
                <w:rFonts w:cstheme="minorHAnsi"/>
                <w:color w:val="000000"/>
              </w:rPr>
              <w:t xml:space="preserve">Motor neurone disease </w:t>
            </w:r>
          </w:p>
          <w:p w14:paraId="7CD1CEBC" w14:textId="77777777" w:rsidR="009D22F0" w:rsidRPr="000143A5" w:rsidRDefault="009D22F0" w:rsidP="00332C22">
            <w:pPr>
              <w:pStyle w:val="ListParagraph"/>
              <w:numPr>
                <w:ilvl w:val="0"/>
                <w:numId w:val="14"/>
              </w:numPr>
              <w:autoSpaceDE w:val="0"/>
              <w:autoSpaceDN w:val="0"/>
              <w:adjustRightInd w:val="0"/>
              <w:rPr>
                <w:rFonts w:cstheme="minorHAnsi"/>
                <w:color w:val="000000"/>
              </w:rPr>
            </w:pPr>
            <w:r w:rsidRPr="000143A5">
              <w:rPr>
                <w:rFonts w:cstheme="minorHAnsi"/>
                <w:color w:val="000000"/>
              </w:rPr>
              <w:t xml:space="preserve">Myasthenia gravis </w:t>
            </w:r>
          </w:p>
          <w:p w14:paraId="17F50E57" w14:textId="77777777" w:rsidR="009D22F0" w:rsidRPr="000143A5" w:rsidRDefault="009D22F0" w:rsidP="00332C22">
            <w:pPr>
              <w:pStyle w:val="ListParagraph"/>
              <w:numPr>
                <w:ilvl w:val="0"/>
                <w:numId w:val="14"/>
              </w:numPr>
              <w:autoSpaceDE w:val="0"/>
              <w:autoSpaceDN w:val="0"/>
              <w:adjustRightInd w:val="0"/>
              <w:spacing w:after="0"/>
              <w:ind w:left="357" w:hanging="357"/>
              <w:rPr>
                <w:rFonts w:cstheme="minorHAnsi"/>
                <w:color w:val="000000"/>
              </w:rPr>
            </w:pPr>
            <w:r w:rsidRPr="000143A5">
              <w:rPr>
                <w:rFonts w:cstheme="minorHAnsi"/>
                <w:color w:val="000000"/>
              </w:rPr>
              <w:t xml:space="preserve">Huntington’s disease </w:t>
            </w:r>
          </w:p>
        </w:tc>
      </w:tr>
    </w:tbl>
    <w:p w14:paraId="75043DF7" w14:textId="77777777" w:rsidR="009D22F0" w:rsidRPr="000143A5" w:rsidRDefault="009D22F0" w:rsidP="009D22F0">
      <w:pPr>
        <w:autoSpaceDE w:val="0"/>
        <w:autoSpaceDN w:val="0"/>
        <w:adjustRightInd w:val="0"/>
        <w:rPr>
          <w:rFonts w:asciiTheme="minorHAnsi" w:eastAsiaTheme="minorHAnsi" w:hAnsiTheme="minorHAnsi" w:cstheme="minorHAnsi"/>
          <w:color w:val="000000"/>
          <w:sz w:val="22"/>
          <w:szCs w:val="22"/>
          <w:lang w:eastAsia="en-US"/>
        </w:rPr>
      </w:pPr>
    </w:p>
    <w:p w14:paraId="3ECA3207" w14:textId="77777777" w:rsidR="009D22F0" w:rsidRPr="000143A5" w:rsidRDefault="009D22F0" w:rsidP="006B3CF8">
      <w:pPr>
        <w:pStyle w:val="Default"/>
        <w:spacing w:before="120"/>
        <w:rPr>
          <w:rFonts w:asciiTheme="minorHAnsi" w:hAnsiTheme="minorHAnsi" w:cstheme="minorHAnsi"/>
          <w:sz w:val="22"/>
          <w:szCs w:val="22"/>
        </w:rPr>
      </w:pPr>
    </w:p>
    <w:p w14:paraId="6DEE15C6" w14:textId="77777777" w:rsidR="00E5375B" w:rsidRPr="000143A5" w:rsidRDefault="00E5375B" w:rsidP="00A94403">
      <w:pPr>
        <w:pStyle w:val="Default"/>
        <w:spacing w:before="120"/>
        <w:rPr>
          <w:rFonts w:asciiTheme="minorHAnsi" w:hAnsiTheme="minorHAnsi" w:cstheme="minorHAnsi"/>
          <w:sz w:val="22"/>
          <w:szCs w:val="22"/>
        </w:rPr>
      </w:pPr>
    </w:p>
    <w:p w14:paraId="7E52B69A" w14:textId="77777777" w:rsidR="006C3AF0" w:rsidRPr="000143A5" w:rsidRDefault="006C3AF0" w:rsidP="006B3CF8">
      <w:pPr>
        <w:spacing w:before="120"/>
        <w:rPr>
          <w:rFonts w:asciiTheme="minorHAnsi" w:hAnsiTheme="minorHAnsi" w:cstheme="minorHAnsi"/>
          <w:b/>
          <w:sz w:val="22"/>
          <w:szCs w:val="22"/>
        </w:rPr>
      </w:pPr>
    </w:p>
    <w:p w14:paraId="46342F00" w14:textId="77777777" w:rsidR="006C3AF0" w:rsidRPr="000143A5" w:rsidRDefault="006C3AF0">
      <w:pPr>
        <w:spacing w:after="200" w:line="276" w:lineRule="auto"/>
        <w:rPr>
          <w:rFonts w:asciiTheme="minorHAnsi" w:hAnsiTheme="minorHAnsi" w:cstheme="minorHAnsi"/>
          <w:b/>
          <w:sz w:val="22"/>
          <w:szCs w:val="22"/>
        </w:rPr>
      </w:pPr>
      <w:r w:rsidRPr="000143A5">
        <w:rPr>
          <w:rFonts w:asciiTheme="minorHAnsi" w:hAnsiTheme="minorHAnsi" w:cstheme="minorHAnsi"/>
          <w:b/>
          <w:sz w:val="22"/>
          <w:szCs w:val="22"/>
        </w:rPr>
        <w:br w:type="page"/>
      </w:r>
    </w:p>
    <w:p w14:paraId="5AFBF2FB" w14:textId="3EA72F58" w:rsidR="006C3AF0" w:rsidRPr="000143A5" w:rsidRDefault="006C3AF0" w:rsidP="006C3AF0">
      <w:pPr>
        <w:spacing w:before="120"/>
        <w:rPr>
          <w:rStyle w:val="Hyperlink"/>
          <w:rFonts w:asciiTheme="minorHAnsi" w:hAnsiTheme="minorHAnsi" w:cstheme="minorHAnsi"/>
          <w:b/>
          <w:color w:val="auto"/>
          <w:sz w:val="22"/>
          <w:szCs w:val="22"/>
        </w:rPr>
      </w:pPr>
      <w:r w:rsidRPr="000143A5">
        <w:rPr>
          <w:rStyle w:val="Hyperlink"/>
          <w:rFonts w:asciiTheme="minorHAnsi" w:hAnsiTheme="minorHAnsi" w:cstheme="minorHAnsi"/>
          <w:b/>
          <w:color w:val="auto"/>
          <w:sz w:val="22"/>
          <w:szCs w:val="22"/>
        </w:rPr>
        <w:lastRenderedPageBreak/>
        <w:t xml:space="preserve">Appendix </w:t>
      </w:r>
      <w:r w:rsidR="00E73228" w:rsidRPr="000143A5">
        <w:rPr>
          <w:rStyle w:val="Hyperlink"/>
          <w:rFonts w:asciiTheme="minorHAnsi" w:hAnsiTheme="minorHAnsi" w:cstheme="minorHAnsi"/>
          <w:b/>
          <w:color w:val="auto"/>
          <w:sz w:val="22"/>
          <w:szCs w:val="22"/>
        </w:rPr>
        <w:t>2</w:t>
      </w:r>
    </w:p>
    <w:p w14:paraId="0EA57B2D" w14:textId="77777777" w:rsidR="006C3AF0" w:rsidRPr="000143A5" w:rsidRDefault="006C3AF0" w:rsidP="006C3AF0">
      <w:pPr>
        <w:autoSpaceDE w:val="0"/>
        <w:autoSpaceDN w:val="0"/>
        <w:adjustRightInd w:val="0"/>
        <w:rPr>
          <w:rFonts w:asciiTheme="minorHAnsi" w:eastAsiaTheme="minorHAnsi" w:hAnsiTheme="minorHAnsi" w:cstheme="minorHAnsi"/>
          <w:b/>
          <w:bCs/>
          <w:sz w:val="22"/>
          <w:szCs w:val="22"/>
          <w:lang w:eastAsia="en-US"/>
        </w:rPr>
      </w:pPr>
    </w:p>
    <w:p w14:paraId="7D7327B7" w14:textId="77777777" w:rsidR="006C3AF0" w:rsidRPr="000143A5" w:rsidRDefault="006C3AF0" w:rsidP="006C3AF0">
      <w:pPr>
        <w:spacing w:line="276" w:lineRule="auto"/>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t xml:space="preserve">Drug-drug interactions involving PF-07321332 (nirmatrelvir) plus ritonavir (Paxlovid®) based on the Specialist Pharmacy Service (SPS) guidance v20/1/22. Please refer to  the </w:t>
      </w:r>
      <w:hyperlink r:id="rId31" w:history="1">
        <w:r w:rsidRPr="000143A5">
          <w:rPr>
            <w:rStyle w:val="Hyperlink"/>
            <w:rFonts w:asciiTheme="minorHAnsi" w:eastAsiaTheme="minorHAnsi" w:hAnsiTheme="minorHAnsi" w:cstheme="minorHAnsi"/>
            <w:sz w:val="22"/>
            <w:szCs w:val="22"/>
            <w:lang w:eastAsia="en-US"/>
          </w:rPr>
          <w:t>SPS guidance</w:t>
        </w:r>
      </w:hyperlink>
      <w:r w:rsidRPr="000143A5">
        <w:rPr>
          <w:rFonts w:asciiTheme="minorHAnsi" w:eastAsiaTheme="minorHAnsi" w:hAnsiTheme="minorHAnsi" w:cstheme="minorHAnsi"/>
          <w:color w:val="000000"/>
          <w:sz w:val="22"/>
          <w:szCs w:val="22"/>
          <w:lang w:eastAsia="en-US"/>
        </w:rPr>
        <w:t xml:space="preserve"> and the </w:t>
      </w:r>
      <w:hyperlink r:id="rId32" w:history="1">
        <w:r w:rsidRPr="000143A5">
          <w:rPr>
            <w:rStyle w:val="Hyperlink"/>
            <w:rFonts w:asciiTheme="minorHAnsi" w:eastAsiaTheme="minorHAnsi" w:hAnsiTheme="minorHAnsi" w:cstheme="minorHAnsi"/>
            <w:sz w:val="22"/>
            <w:szCs w:val="22"/>
            <w:lang w:eastAsia="en-US"/>
          </w:rPr>
          <w:t>University of Liverpool COVID-19 Drug Interaction checker</w:t>
        </w:r>
      </w:hyperlink>
      <w:r w:rsidRPr="000143A5">
        <w:rPr>
          <w:rFonts w:asciiTheme="minorHAnsi" w:eastAsiaTheme="minorHAnsi" w:hAnsiTheme="minorHAnsi" w:cstheme="minorHAnsi"/>
          <w:color w:val="000000"/>
          <w:sz w:val="22"/>
          <w:szCs w:val="22"/>
          <w:lang w:eastAsia="en-US"/>
        </w:rPr>
        <w:t xml:space="preserve"> for the most up to date information:</w:t>
      </w:r>
    </w:p>
    <w:p w14:paraId="45C7846D" w14:textId="77777777" w:rsidR="006C3AF0" w:rsidRPr="000143A5" w:rsidRDefault="006C3AF0" w:rsidP="006C3AF0">
      <w:pPr>
        <w:spacing w:line="276" w:lineRule="auto"/>
        <w:rPr>
          <w:rFonts w:asciiTheme="minorHAnsi" w:eastAsiaTheme="minorHAnsi" w:hAnsiTheme="minorHAnsi" w:cstheme="minorHAnsi"/>
          <w:color w:val="000000"/>
          <w:sz w:val="22"/>
          <w:szCs w:val="22"/>
          <w:lang w:eastAsia="en-US"/>
        </w:rPr>
      </w:pPr>
    </w:p>
    <w:p w14:paraId="123027A3" w14:textId="77777777" w:rsidR="006C3AF0" w:rsidRPr="000143A5" w:rsidRDefault="006C3AF0" w:rsidP="006C3AF0">
      <w:pPr>
        <w:spacing w:line="276" w:lineRule="auto"/>
        <w:rPr>
          <w:rFonts w:asciiTheme="minorHAnsi" w:eastAsiaTheme="minorHAnsi" w:hAnsiTheme="minorHAnsi" w:cstheme="minorHAnsi"/>
          <w:color w:val="000000"/>
          <w:sz w:val="22"/>
          <w:szCs w:val="22"/>
          <w:lang w:eastAsia="en-US"/>
        </w:rPr>
      </w:pPr>
      <w:r w:rsidRPr="000143A5">
        <w:rPr>
          <w:rFonts w:asciiTheme="minorHAnsi" w:hAnsiTheme="minorHAnsi" w:cstheme="minorHAnsi"/>
          <w:noProof/>
          <w:sz w:val="22"/>
          <w:szCs w:val="22"/>
        </w:rPr>
        <w:drawing>
          <wp:inline distT="0" distB="0" distL="0" distR="0" wp14:anchorId="00C7B666" wp14:editId="62750B51">
            <wp:extent cx="5826642" cy="71818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77926" t="21129" r="4494" b="10825"/>
                    <a:stretch/>
                  </pic:blipFill>
                  <pic:spPr bwMode="auto">
                    <a:xfrm>
                      <a:off x="0" y="0"/>
                      <a:ext cx="5857217" cy="7219536"/>
                    </a:xfrm>
                    <a:prstGeom prst="rect">
                      <a:avLst/>
                    </a:prstGeom>
                    <a:ln>
                      <a:noFill/>
                    </a:ln>
                    <a:extLst>
                      <a:ext uri="{53640926-AAD7-44D8-BBD7-CCE9431645EC}">
                        <a14:shadowObscured xmlns:a14="http://schemas.microsoft.com/office/drawing/2010/main"/>
                      </a:ext>
                    </a:extLst>
                  </pic:spPr>
                </pic:pic>
              </a:graphicData>
            </a:graphic>
          </wp:inline>
        </w:drawing>
      </w:r>
    </w:p>
    <w:p w14:paraId="5C6D4A1E" w14:textId="77777777" w:rsidR="00C101B4" w:rsidRPr="000143A5" w:rsidRDefault="00C101B4">
      <w:pPr>
        <w:spacing w:after="200" w:line="276" w:lineRule="auto"/>
        <w:rPr>
          <w:rFonts w:asciiTheme="minorHAnsi" w:eastAsiaTheme="minorHAnsi" w:hAnsiTheme="minorHAnsi" w:cstheme="minorHAnsi"/>
          <w:color w:val="000000"/>
          <w:sz w:val="22"/>
          <w:szCs w:val="22"/>
          <w:lang w:eastAsia="en-US"/>
        </w:rPr>
      </w:pPr>
      <w:r w:rsidRPr="000143A5">
        <w:rPr>
          <w:rFonts w:asciiTheme="minorHAnsi" w:eastAsiaTheme="minorHAnsi" w:hAnsiTheme="minorHAnsi" w:cstheme="minorHAnsi"/>
          <w:color w:val="000000"/>
          <w:sz w:val="22"/>
          <w:szCs w:val="22"/>
          <w:lang w:eastAsia="en-US"/>
        </w:rPr>
        <w:br w:type="page"/>
      </w:r>
    </w:p>
    <w:p w14:paraId="67C139B0" w14:textId="77777777" w:rsidR="00C101B4" w:rsidRPr="000143A5" w:rsidRDefault="00C101B4">
      <w:pPr>
        <w:spacing w:after="200" w:line="276" w:lineRule="auto"/>
        <w:rPr>
          <w:rFonts w:asciiTheme="minorHAnsi" w:eastAsiaTheme="minorHAnsi" w:hAnsiTheme="minorHAnsi" w:cstheme="minorHAnsi"/>
          <w:color w:val="000000"/>
          <w:sz w:val="22"/>
          <w:szCs w:val="22"/>
          <w:lang w:eastAsia="en-US"/>
        </w:rPr>
      </w:pPr>
      <w:r w:rsidRPr="000143A5">
        <w:rPr>
          <w:rFonts w:asciiTheme="minorHAnsi" w:hAnsiTheme="minorHAnsi" w:cstheme="minorHAnsi"/>
          <w:noProof/>
          <w:sz w:val="22"/>
          <w:szCs w:val="22"/>
        </w:rPr>
        <w:lastRenderedPageBreak/>
        <w:drawing>
          <wp:inline distT="0" distB="0" distL="0" distR="0" wp14:anchorId="72335859" wp14:editId="36D13373">
            <wp:extent cx="5731849" cy="8718698"/>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9504" t="17172" r="5907" b="3940"/>
                    <a:stretch/>
                  </pic:blipFill>
                  <pic:spPr bwMode="auto">
                    <a:xfrm>
                      <a:off x="0" y="0"/>
                      <a:ext cx="5761746" cy="8764175"/>
                    </a:xfrm>
                    <a:prstGeom prst="rect">
                      <a:avLst/>
                    </a:prstGeom>
                    <a:ln>
                      <a:noFill/>
                    </a:ln>
                    <a:extLst>
                      <a:ext uri="{53640926-AAD7-44D8-BBD7-CCE9431645EC}">
                        <a14:shadowObscured xmlns:a14="http://schemas.microsoft.com/office/drawing/2010/main"/>
                      </a:ext>
                    </a:extLst>
                  </pic:spPr>
                </pic:pic>
              </a:graphicData>
            </a:graphic>
          </wp:inline>
        </w:drawing>
      </w:r>
      <w:r w:rsidRPr="000143A5">
        <w:rPr>
          <w:rFonts w:asciiTheme="minorHAnsi" w:eastAsiaTheme="minorHAnsi" w:hAnsiTheme="minorHAnsi" w:cstheme="minorHAnsi"/>
          <w:color w:val="000000"/>
          <w:sz w:val="22"/>
          <w:szCs w:val="22"/>
          <w:lang w:eastAsia="en-US"/>
        </w:rPr>
        <w:br w:type="page"/>
      </w:r>
    </w:p>
    <w:p w14:paraId="7ACEF824" w14:textId="77777777" w:rsidR="006C3AF0" w:rsidRPr="000143A5" w:rsidRDefault="00C101B4" w:rsidP="006C3AF0">
      <w:pPr>
        <w:spacing w:line="276" w:lineRule="auto"/>
        <w:rPr>
          <w:rFonts w:asciiTheme="minorHAnsi" w:eastAsiaTheme="minorHAnsi" w:hAnsiTheme="minorHAnsi" w:cstheme="minorHAnsi"/>
          <w:color w:val="000000"/>
          <w:sz w:val="22"/>
          <w:szCs w:val="22"/>
          <w:lang w:eastAsia="en-US"/>
        </w:rPr>
      </w:pPr>
      <w:r w:rsidRPr="000143A5">
        <w:rPr>
          <w:rFonts w:asciiTheme="minorHAnsi" w:hAnsiTheme="minorHAnsi" w:cstheme="minorHAnsi"/>
          <w:noProof/>
          <w:sz w:val="22"/>
          <w:szCs w:val="22"/>
        </w:rPr>
        <w:lastRenderedPageBreak/>
        <w:drawing>
          <wp:inline distT="0" distB="0" distL="0" distR="0" wp14:anchorId="12AF8E3C" wp14:editId="73F043E6">
            <wp:extent cx="6213856" cy="873996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625" t="17109" r="19789" b="1712"/>
                    <a:stretch/>
                  </pic:blipFill>
                  <pic:spPr bwMode="auto">
                    <a:xfrm>
                      <a:off x="0" y="0"/>
                      <a:ext cx="6225820" cy="8756791"/>
                    </a:xfrm>
                    <a:prstGeom prst="rect">
                      <a:avLst/>
                    </a:prstGeom>
                    <a:ln>
                      <a:noFill/>
                    </a:ln>
                    <a:extLst>
                      <a:ext uri="{53640926-AAD7-44D8-BBD7-CCE9431645EC}">
                        <a14:shadowObscured xmlns:a14="http://schemas.microsoft.com/office/drawing/2010/main"/>
                      </a:ext>
                    </a:extLst>
                  </pic:spPr>
                </pic:pic>
              </a:graphicData>
            </a:graphic>
          </wp:inline>
        </w:drawing>
      </w:r>
    </w:p>
    <w:p w14:paraId="711269CC" w14:textId="77777777" w:rsidR="00C101B4" w:rsidRPr="000143A5" w:rsidRDefault="00C101B4">
      <w:pPr>
        <w:spacing w:after="200" w:line="276" w:lineRule="auto"/>
        <w:rPr>
          <w:rFonts w:asciiTheme="minorHAnsi" w:hAnsiTheme="minorHAnsi" w:cstheme="minorHAnsi"/>
          <w:b/>
          <w:sz w:val="22"/>
          <w:szCs w:val="22"/>
        </w:rPr>
      </w:pPr>
      <w:r w:rsidRPr="000143A5">
        <w:rPr>
          <w:rFonts w:asciiTheme="minorHAnsi" w:hAnsiTheme="minorHAnsi" w:cstheme="minorHAnsi"/>
          <w:b/>
          <w:sz w:val="22"/>
          <w:szCs w:val="22"/>
        </w:rPr>
        <w:br w:type="page"/>
      </w:r>
    </w:p>
    <w:p w14:paraId="6A71A687" w14:textId="77777777" w:rsidR="00C101B4" w:rsidRPr="000143A5" w:rsidRDefault="00C101B4">
      <w:pPr>
        <w:spacing w:after="200" w:line="276" w:lineRule="auto"/>
        <w:rPr>
          <w:rFonts w:asciiTheme="minorHAnsi" w:hAnsiTheme="minorHAnsi" w:cstheme="minorHAnsi"/>
          <w:b/>
          <w:sz w:val="22"/>
          <w:szCs w:val="22"/>
        </w:rPr>
      </w:pPr>
      <w:r w:rsidRPr="000143A5">
        <w:rPr>
          <w:rFonts w:asciiTheme="minorHAnsi" w:hAnsiTheme="minorHAnsi" w:cstheme="minorHAnsi"/>
          <w:noProof/>
          <w:sz w:val="22"/>
          <w:szCs w:val="22"/>
        </w:rPr>
        <w:lastRenderedPageBreak/>
        <w:drawing>
          <wp:inline distT="0" distB="0" distL="0" distR="0" wp14:anchorId="6369BFEB" wp14:editId="6AF493D4">
            <wp:extent cx="5927026" cy="868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7811" t="18478" r="22820" b="1282"/>
                    <a:stretch/>
                  </pic:blipFill>
                  <pic:spPr bwMode="auto">
                    <a:xfrm>
                      <a:off x="0" y="0"/>
                      <a:ext cx="5927606" cy="8687650"/>
                    </a:xfrm>
                    <a:prstGeom prst="rect">
                      <a:avLst/>
                    </a:prstGeom>
                    <a:ln>
                      <a:noFill/>
                    </a:ln>
                    <a:extLst>
                      <a:ext uri="{53640926-AAD7-44D8-BBD7-CCE9431645EC}">
                        <a14:shadowObscured xmlns:a14="http://schemas.microsoft.com/office/drawing/2010/main"/>
                      </a:ext>
                    </a:extLst>
                  </pic:spPr>
                </pic:pic>
              </a:graphicData>
            </a:graphic>
          </wp:inline>
        </w:drawing>
      </w:r>
      <w:r w:rsidRPr="000143A5">
        <w:rPr>
          <w:rFonts w:asciiTheme="minorHAnsi" w:hAnsiTheme="minorHAnsi" w:cstheme="minorHAnsi"/>
          <w:b/>
          <w:sz w:val="22"/>
          <w:szCs w:val="22"/>
        </w:rPr>
        <w:br w:type="page"/>
      </w:r>
    </w:p>
    <w:p w14:paraId="250E66C8" w14:textId="7FC46A90" w:rsidR="00C06D7D" w:rsidRPr="000143A5" w:rsidRDefault="00C101B4" w:rsidP="00C101B4">
      <w:pPr>
        <w:spacing w:after="200" w:line="276" w:lineRule="auto"/>
        <w:rPr>
          <w:rFonts w:asciiTheme="minorHAnsi" w:hAnsiTheme="minorHAnsi" w:cstheme="minorHAnsi"/>
          <w:b/>
          <w:sz w:val="22"/>
          <w:szCs w:val="22"/>
        </w:rPr>
        <w:sectPr w:rsidR="00C06D7D" w:rsidRPr="000143A5" w:rsidSect="00242CF7">
          <w:footerReference w:type="default" r:id="rId37"/>
          <w:pgSz w:w="11906" w:h="16838"/>
          <w:pgMar w:top="1440" w:right="1440" w:bottom="1134" w:left="1440" w:header="708" w:footer="708" w:gutter="0"/>
          <w:cols w:space="708"/>
          <w:docGrid w:linePitch="360"/>
        </w:sectPr>
      </w:pPr>
      <w:r w:rsidRPr="000143A5">
        <w:rPr>
          <w:rFonts w:asciiTheme="minorHAnsi" w:hAnsiTheme="minorHAnsi" w:cstheme="minorHAnsi"/>
          <w:noProof/>
          <w:sz w:val="22"/>
          <w:szCs w:val="22"/>
        </w:rPr>
        <w:lastRenderedPageBreak/>
        <w:drawing>
          <wp:inline distT="0" distB="0" distL="0" distR="0" wp14:anchorId="43D816B7" wp14:editId="53EC3722">
            <wp:extent cx="6007395" cy="42883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7811" t="23438" r="21892" b="36869"/>
                    <a:stretch/>
                  </pic:blipFill>
                  <pic:spPr bwMode="auto">
                    <a:xfrm>
                      <a:off x="0" y="0"/>
                      <a:ext cx="6007982" cy="4288774"/>
                    </a:xfrm>
                    <a:prstGeom prst="rect">
                      <a:avLst/>
                    </a:prstGeom>
                    <a:ln>
                      <a:noFill/>
                    </a:ln>
                    <a:extLst>
                      <a:ext uri="{53640926-AAD7-44D8-BBD7-CCE9431645EC}">
                        <a14:shadowObscured xmlns:a14="http://schemas.microsoft.com/office/drawing/2010/main"/>
                      </a:ext>
                    </a:extLst>
                  </pic:spPr>
                </pic:pic>
              </a:graphicData>
            </a:graphic>
          </wp:inline>
        </w:drawing>
      </w:r>
    </w:p>
    <w:p w14:paraId="3489C30D" w14:textId="15F10C71" w:rsidR="00632826" w:rsidRPr="000143A5" w:rsidRDefault="00632826" w:rsidP="00531188">
      <w:pPr>
        <w:spacing w:before="120"/>
        <w:rPr>
          <w:rFonts w:asciiTheme="minorHAnsi" w:hAnsiTheme="minorHAnsi" w:cstheme="minorHAnsi"/>
          <w:b/>
          <w:sz w:val="22"/>
          <w:szCs w:val="22"/>
        </w:rPr>
      </w:pPr>
    </w:p>
    <w:sectPr w:rsidR="00632826" w:rsidRPr="000143A5" w:rsidSect="002A29B1">
      <w:pgSz w:w="16838" w:h="11906" w:orient="landscape"/>
      <w:pgMar w:top="709" w:right="567" w:bottom="142"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35AA7" w16cex:dateUtc="2021-11-04T19:01:00Z"/>
  <w16cex:commentExtensible w16cex:durableId="25335AA8" w16cex:dateUtc="2021-11-04T20:45:00Z"/>
  <w16cex:commentExtensible w16cex:durableId="25335AA9" w16cex:dateUtc="2021-11-04T19: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16BF6E" w16cid:durableId="25335AA7"/>
  <w16cid:commentId w16cid:paraId="6808D8D7" w16cid:durableId="25335AA8"/>
  <w16cid:commentId w16cid:paraId="1F9526AA" w16cid:durableId="25335A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6C5EC" w14:textId="77777777" w:rsidR="006C3AF0" w:rsidRDefault="006C3AF0" w:rsidP="00FC396B">
      <w:r>
        <w:separator/>
      </w:r>
    </w:p>
  </w:endnote>
  <w:endnote w:type="continuationSeparator" w:id="0">
    <w:p w14:paraId="16778E87" w14:textId="77777777" w:rsidR="006C3AF0" w:rsidRDefault="006C3AF0" w:rsidP="00FC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616401"/>
      <w:docPartObj>
        <w:docPartGallery w:val="Page Numbers (Bottom of Page)"/>
        <w:docPartUnique/>
      </w:docPartObj>
    </w:sdtPr>
    <w:sdtEndPr>
      <w:rPr>
        <w:noProof/>
      </w:rPr>
    </w:sdtEndPr>
    <w:sdtContent>
      <w:p w14:paraId="5BA8355A" w14:textId="463DF18C" w:rsidR="009A280F" w:rsidRDefault="009A280F">
        <w:pPr>
          <w:pStyle w:val="Footer"/>
          <w:jc w:val="right"/>
        </w:pPr>
        <w:r>
          <w:fldChar w:fldCharType="begin"/>
        </w:r>
        <w:r>
          <w:instrText xml:space="preserve"> PAGE   \* MERGEFORMAT </w:instrText>
        </w:r>
        <w:r>
          <w:fldChar w:fldCharType="separate"/>
        </w:r>
        <w:r w:rsidR="004238A4">
          <w:rPr>
            <w:noProof/>
          </w:rPr>
          <w:t>4</w:t>
        </w:r>
        <w:r>
          <w:rPr>
            <w:noProof/>
          </w:rPr>
          <w:fldChar w:fldCharType="end"/>
        </w:r>
      </w:p>
    </w:sdtContent>
  </w:sdt>
  <w:p w14:paraId="70D95099" w14:textId="77777777" w:rsidR="009A280F" w:rsidRDefault="009A28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455F99" w14:textId="77777777" w:rsidR="006C3AF0" w:rsidRDefault="006C3AF0" w:rsidP="00FC396B">
      <w:r>
        <w:separator/>
      </w:r>
    </w:p>
  </w:footnote>
  <w:footnote w:type="continuationSeparator" w:id="0">
    <w:p w14:paraId="680DA7C3" w14:textId="77777777" w:rsidR="006C3AF0" w:rsidRDefault="006C3AF0" w:rsidP="00FC396B">
      <w:r>
        <w:continuationSeparator/>
      </w:r>
    </w:p>
  </w:footnote>
  <w:footnote w:id="1">
    <w:p w14:paraId="1B3EFD0D" w14:textId="23E6B911" w:rsidR="009A280F" w:rsidRDefault="009A280F">
      <w:pPr>
        <w:pStyle w:val="FootnoteText"/>
      </w:pPr>
      <w:r>
        <w:rPr>
          <w:rStyle w:val="FootnoteReference"/>
        </w:rPr>
        <w:footnoteRef/>
      </w:r>
      <w:r>
        <w:t xml:space="preserve"> </w:t>
      </w:r>
      <w:r w:rsidRPr="009A280F">
        <w:t>Symptoms include; feverish, chills, sore throat, cough, SOB or difficulty breathing, nausea, vomiting, diarrhoe</w:t>
      </w:r>
      <w:r w:rsidR="000143A5">
        <w:t>a, headache,</w:t>
      </w:r>
      <w:r w:rsidRPr="009A280F">
        <w:t xml:space="preserve"> body aches, loss of taste or smell, fatigue, loss o</w:t>
      </w:r>
      <w:r w:rsidR="000143A5">
        <w:t>f appetite</w:t>
      </w:r>
      <w:r w:rsidRPr="009A280F">
        <w:t>, pressure or tight chest, ch</w:t>
      </w:r>
      <w:r w:rsidR="000143A5">
        <w:t xml:space="preserve">est pain, </w:t>
      </w:r>
      <w:r w:rsidRPr="009A280F">
        <w:t xml:space="preserve">runny nose </w:t>
      </w:r>
    </w:p>
  </w:footnote>
  <w:footnote w:id="2">
    <w:p w14:paraId="09A02539" w14:textId="0DE7C13B" w:rsidR="000143A5" w:rsidRDefault="000143A5">
      <w:pPr>
        <w:pStyle w:val="FootnoteText"/>
      </w:pPr>
      <w:r>
        <w:rPr>
          <w:rStyle w:val="FootnoteReference"/>
        </w:rPr>
        <w:footnoteRef/>
      </w:r>
      <w:r>
        <w:t xml:space="preserve"> University of Liverpool, Liverpool Drug Interactions Group:</w:t>
      </w:r>
      <w:hyperlink r:id="rId1" w:history="1">
        <w:r w:rsidRPr="000143A5">
          <w:rPr>
            <w:rStyle w:val="Hyperlink"/>
          </w:rPr>
          <w:t xml:space="preserve"> Crushing nirmatrelvir and ritonavir tablets </w:t>
        </w:r>
      </w:hyperlink>
      <w:r>
        <w:t xml:space="preserve"> 2/12/22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5D80"/>
    <w:multiLevelType w:val="hybridMultilevel"/>
    <w:tmpl w:val="D09EEB0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1E72934"/>
    <w:multiLevelType w:val="hybridMultilevel"/>
    <w:tmpl w:val="E5CA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46C79"/>
    <w:multiLevelType w:val="hybridMultilevel"/>
    <w:tmpl w:val="F28EF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30546B"/>
    <w:multiLevelType w:val="hybridMultilevel"/>
    <w:tmpl w:val="873A6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CA6E74"/>
    <w:multiLevelType w:val="hybridMultilevel"/>
    <w:tmpl w:val="5CE65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6B0BD0"/>
    <w:multiLevelType w:val="hybridMultilevel"/>
    <w:tmpl w:val="B0206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A1B32"/>
    <w:multiLevelType w:val="hybridMultilevel"/>
    <w:tmpl w:val="E1DC46AC"/>
    <w:lvl w:ilvl="0" w:tplc="5F860778">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8602C5"/>
    <w:multiLevelType w:val="hybridMultilevel"/>
    <w:tmpl w:val="B7909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2E7C29"/>
    <w:multiLevelType w:val="hybridMultilevel"/>
    <w:tmpl w:val="0A90A0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DC2075"/>
    <w:multiLevelType w:val="hybridMultilevel"/>
    <w:tmpl w:val="B35074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9C3178"/>
    <w:multiLevelType w:val="hybridMultilevel"/>
    <w:tmpl w:val="FFCCC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7E10CB"/>
    <w:multiLevelType w:val="hybridMultilevel"/>
    <w:tmpl w:val="17682F04"/>
    <w:lvl w:ilvl="0" w:tplc="0462926E">
      <w:start w:val="7"/>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F427F9"/>
    <w:multiLevelType w:val="multilevel"/>
    <w:tmpl w:val="801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E865E1"/>
    <w:multiLevelType w:val="hybridMultilevel"/>
    <w:tmpl w:val="63DA0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B4673"/>
    <w:multiLevelType w:val="hybridMultilevel"/>
    <w:tmpl w:val="CB422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FE011D"/>
    <w:multiLevelType w:val="hybridMultilevel"/>
    <w:tmpl w:val="AEAC7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4D2338"/>
    <w:multiLevelType w:val="hybridMultilevel"/>
    <w:tmpl w:val="C9320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573BB"/>
    <w:multiLevelType w:val="hybridMultilevel"/>
    <w:tmpl w:val="5B925DBE"/>
    <w:lvl w:ilvl="0" w:tplc="98DCB042">
      <w:start w:val="1"/>
      <w:numFmt w:val="decimal"/>
      <w:lvlText w:val="%1."/>
      <w:lvlJc w:val="left"/>
      <w:pPr>
        <w:tabs>
          <w:tab w:val="num" w:pos="720"/>
        </w:tabs>
        <w:ind w:left="720" w:hanging="360"/>
      </w:pPr>
    </w:lvl>
    <w:lvl w:ilvl="1" w:tplc="8876A24C" w:tentative="1">
      <w:start w:val="1"/>
      <w:numFmt w:val="decimal"/>
      <w:lvlText w:val="%2."/>
      <w:lvlJc w:val="left"/>
      <w:pPr>
        <w:tabs>
          <w:tab w:val="num" w:pos="1440"/>
        </w:tabs>
        <w:ind w:left="1440" w:hanging="360"/>
      </w:pPr>
    </w:lvl>
    <w:lvl w:ilvl="2" w:tplc="A4F828A8" w:tentative="1">
      <w:start w:val="1"/>
      <w:numFmt w:val="decimal"/>
      <w:lvlText w:val="%3."/>
      <w:lvlJc w:val="left"/>
      <w:pPr>
        <w:tabs>
          <w:tab w:val="num" w:pos="2160"/>
        </w:tabs>
        <w:ind w:left="2160" w:hanging="360"/>
      </w:pPr>
    </w:lvl>
    <w:lvl w:ilvl="3" w:tplc="43E88F50" w:tentative="1">
      <w:start w:val="1"/>
      <w:numFmt w:val="decimal"/>
      <w:lvlText w:val="%4."/>
      <w:lvlJc w:val="left"/>
      <w:pPr>
        <w:tabs>
          <w:tab w:val="num" w:pos="2880"/>
        </w:tabs>
        <w:ind w:left="2880" w:hanging="360"/>
      </w:pPr>
    </w:lvl>
    <w:lvl w:ilvl="4" w:tplc="54F4786A" w:tentative="1">
      <w:start w:val="1"/>
      <w:numFmt w:val="decimal"/>
      <w:lvlText w:val="%5."/>
      <w:lvlJc w:val="left"/>
      <w:pPr>
        <w:tabs>
          <w:tab w:val="num" w:pos="3600"/>
        </w:tabs>
        <w:ind w:left="3600" w:hanging="360"/>
      </w:pPr>
    </w:lvl>
    <w:lvl w:ilvl="5" w:tplc="0E8C4D2E" w:tentative="1">
      <w:start w:val="1"/>
      <w:numFmt w:val="decimal"/>
      <w:lvlText w:val="%6."/>
      <w:lvlJc w:val="left"/>
      <w:pPr>
        <w:tabs>
          <w:tab w:val="num" w:pos="4320"/>
        </w:tabs>
        <w:ind w:left="4320" w:hanging="360"/>
      </w:pPr>
    </w:lvl>
    <w:lvl w:ilvl="6" w:tplc="38A8D92E" w:tentative="1">
      <w:start w:val="1"/>
      <w:numFmt w:val="decimal"/>
      <w:lvlText w:val="%7."/>
      <w:lvlJc w:val="left"/>
      <w:pPr>
        <w:tabs>
          <w:tab w:val="num" w:pos="5040"/>
        </w:tabs>
        <w:ind w:left="5040" w:hanging="360"/>
      </w:pPr>
    </w:lvl>
    <w:lvl w:ilvl="7" w:tplc="51161532" w:tentative="1">
      <w:start w:val="1"/>
      <w:numFmt w:val="decimal"/>
      <w:lvlText w:val="%8."/>
      <w:lvlJc w:val="left"/>
      <w:pPr>
        <w:tabs>
          <w:tab w:val="num" w:pos="5760"/>
        </w:tabs>
        <w:ind w:left="5760" w:hanging="360"/>
      </w:pPr>
    </w:lvl>
    <w:lvl w:ilvl="8" w:tplc="69729550" w:tentative="1">
      <w:start w:val="1"/>
      <w:numFmt w:val="decimal"/>
      <w:lvlText w:val="%9."/>
      <w:lvlJc w:val="left"/>
      <w:pPr>
        <w:tabs>
          <w:tab w:val="num" w:pos="6480"/>
        </w:tabs>
        <w:ind w:left="6480" w:hanging="360"/>
      </w:pPr>
    </w:lvl>
  </w:abstractNum>
  <w:abstractNum w:abstractNumId="18" w15:restartNumberingAfterBreak="0">
    <w:nsid w:val="35890C0B"/>
    <w:multiLevelType w:val="hybridMultilevel"/>
    <w:tmpl w:val="66985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284D4A"/>
    <w:multiLevelType w:val="multilevel"/>
    <w:tmpl w:val="C8EA65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7025B78"/>
    <w:multiLevelType w:val="multilevel"/>
    <w:tmpl w:val="948E9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9E68D0"/>
    <w:multiLevelType w:val="hybridMultilevel"/>
    <w:tmpl w:val="76CE3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8556EA"/>
    <w:multiLevelType w:val="hybridMultilevel"/>
    <w:tmpl w:val="29B2DDDC"/>
    <w:lvl w:ilvl="0" w:tplc="5F860778">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5471A6"/>
    <w:multiLevelType w:val="multilevel"/>
    <w:tmpl w:val="58F8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041D9A"/>
    <w:multiLevelType w:val="hybridMultilevel"/>
    <w:tmpl w:val="B7D622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D070F0B"/>
    <w:multiLevelType w:val="hybridMultilevel"/>
    <w:tmpl w:val="A2C4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052790"/>
    <w:multiLevelType w:val="hybridMultilevel"/>
    <w:tmpl w:val="01D49E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F754CC9"/>
    <w:multiLevelType w:val="hybridMultilevel"/>
    <w:tmpl w:val="FFAC0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A73102"/>
    <w:multiLevelType w:val="hybridMultilevel"/>
    <w:tmpl w:val="BCFEE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163711C"/>
    <w:multiLevelType w:val="multilevel"/>
    <w:tmpl w:val="3AF07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EE67D0"/>
    <w:multiLevelType w:val="hybridMultilevel"/>
    <w:tmpl w:val="E34ED62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1F46688"/>
    <w:multiLevelType w:val="hybridMultilevel"/>
    <w:tmpl w:val="8D50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B6407"/>
    <w:multiLevelType w:val="hybridMultilevel"/>
    <w:tmpl w:val="3BE66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90120E"/>
    <w:multiLevelType w:val="hybridMultilevel"/>
    <w:tmpl w:val="85A695D8"/>
    <w:lvl w:ilvl="0" w:tplc="5F86077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2D199B"/>
    <w:multiLevelType w:val="hybridMultilevel"/>
    <w:tmpl w:val="A2C041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CE5031"/>
    <w:multiLevelType w:val="hybridMultilevel"/>
    <w:tmpl w:val="53508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990368"/>
    <w:multiLevelType w:val="hybridMultilevel"/>
    <w:tmpl w:val="AEBE2F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4"/>
  </w:num>
  <w:num w:numId="2">
    <w:abstractNumId w:val="2"/>
  </w:num>
  <w:num w:numId="3">
    <w:abstractNumId w:val="4"/>
  </w:num>
  <w:num w:numId="4">
    <w:abstractNumId w:val="15"/>
  </w:num>
  <w:num w:numId="5">
    <w:abstractNumId w:val="1"/>
  </w:num>
  <w:num w:numId="6">
    <w:abstractNumId w:val="3"/>
  </w:num>
  <w:num w:numId="7">
    <w:abstractNumId w:val="8"/>
  </w:num>
  <w:num w:numId="8">
    <w:abstractNumId w:val="26"/>
  </w:num>
  <w:num w:numId="9">
    <w:abstractNumId w:val="24"/>
  </w:num>
  <w:num w:numId="10">
    <w:abstractNumId w:val="9"/>
  </w:num>
  <w:num w:numId="11">
    <w:abstractNumId w:val="10"/>
  </w:num>
  <w:num w:numId="12">
    <w:abstractNumId w:val="28"/>
  </w:num>
  <w:num w:numId="13">
    <w:abstractNumId w:val="13"/>
  </w:num>
  <w:num w:numId="14">
    <w:abstractNumId w:val="7"/>
  </w:num>
  <w:num w:numId="15">
    <w:abstractNumId w:val="11"/>
  </w:num>
  <w:num w:numId="16">
    <w:abstractNumId w:val="33"/>
  </w:num>
  <w:num w:numId="17">
    <w:abstractNumId w:val="6"/>
  </w:num>
  <w:num w:numId="18">
    <w:abstractNumId w:val="22"/>
  </w:num>
  <w:num w:numId="19">
    <w:abstractNumId w:val="36"/>
  </w:num>
  <w:num w:numId="20">
    <w:abstractNumId w:val="0"/>
  </w:num>
  <w:num w:numId="21">
    <w:abstractNumId w:val="30"/>
  </w:num>
  <w:num w:numId="22">
    <w:abstractNumId w:val="14"/>
  </w:num>
  <w:num w:numId="23">
    <w:abstractNumId w:val="16"/>
  </w:num>
  <w:num w:numId="24">
    <w:abstractNumId w:val="21"/>
  </w:num>
  <w:num w:numId="25">
    <w:abstractNumId w:val="35"/>
  </w:num>
  <w:num w:numId="26">
    <w:abstractNumId w:val="27"/>
  </w:num>
  <w:num w:numId="27">
    <w:abstractNumId w:val="32"/>
  </w:num>
  <w:num w:numId="28">
    <w:abstractNumId w:val="19"/>
  </w:num>
  <w:num w:numId="29">
    <w:abstractNumId w:val="17"/>
  </w:num>
  <w:num w:numId="30">
    <w:abstractNumId w:val="18"/>
  </w:num>
  <w:num w:numId="31">
    <w:abstractNumId w:val="31"/>
  </w:num>
  <w:num w:numId="32">
    <w:abstractNumId w:val="12"/>
  </w:num>
  <w:num w:numId="33">
    <w:abstractNumId w:val="29"/>
  </w:num>
  <w:num w:numId="34">
    <w:abstractNumId w:val="20"/>
  </w:num>
  <w:num w:numId="35">
    <w:abstractNumId w:val="23"/>
  </w:num>
  <w:num w:numId="36">
    <w:abstractNumId w:val="5"/>
  </w:num>
  <w:num w:numId="37">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CCC"/>
    <w:rsid w:val="0000429E"/>
    <w:rsid w:val="000143A5"/>
    <w:rsid w:val="00017AEB"/>
    <w:rsid w:val="00027E46"/>
    <w:rsid w:val="000A7497"/>
    <w:rsid w:val="000C06DB"/>
    <w:rsid w:val="000C0E00"/>
    <w:rsid w:val="000E69FE"/>
    <w:rsid w:val="000F58C5"/>
    <w:rsid w:val="00107B0C"/>
    <w:rsid w:val="00111EC9"/>
    <w:rsid w:val="001125B7"/>
    <w:rsid w:val="00124F95"/>
    <w:rsid w:val="001252AB"/>
    <w:rsid w:val="00127245"/>
    <w:rsid w:val="00134BB4"/>
    <w:rsid w:val="00135284"/>
    <w:rsid w:val="00151656"/>
    <w:rsid w:val="001529DF"/>
    <w:rsid w:val="00162FCD"/>
    <w:rsid w:val="001D1CCC"/>
    <w:rsid w:val="001F0060"/>
    <w:rsid w:val="001F429B"/>
    <w:rsid w:val="00200223"/>
    <w:rsid w:val="00202D04"/>
    <w:rsid w:val="002412F5"/>
    <w:rsid w:val="00242CF7"/>
    <w:rsid w:val="00245974"/>
    <w:rsid w:val="00256BC2"/>
    <w:rsid w:val="00263817"/>
    <w:rsid w:val="00280CDB"/>
    <w:rsid w:val="002A04FD"/>
    <w:rsid w:val="002A29B1"/>
    <w:rsid w:val="002A6BE5"/>
    <w:rsid w:val="002B5962"/>
    <w:rsid w:val="002C313B"/>
    <w:rsid w:val="00302E3E"/>
    <w:rsid w:val="003050EB"/>
    <w:rsid w:val="00332BAF"/>
    <w:rsid w:val="00332C22"/>
    <w:rsid w:val="003373B9"/>
    <w:rsid w:val="00340CAE"/>
    <w:rsid w:val="00350FA8"/>
    <w:rsid w:val="003545ED"/>
    <w:rsid w:val="00361701"/>
    <w:rsid w:val="003719EF"/>
    <w:rsid w:val="00375196"/>
    <w:rsid w:val="003755EC"/>
    <w:rsid w:val="00392B6A"/>
    <w:rsid w:val="003963F2"/>
    <w:rsid w:val="003A380F"/>
    <w:rsid w:val="003A416F"/>
    <w:rsid w:val="003A6E61"/>
    <w:rsid w:val="003B2498"/>
    <w:rsid w:val="003C1506"/>
    <w:rsid w:val="003F184A"/>
    <w:rsid w:val="003F28F7"/>
    <w:rsid w:val="00420B79"/>
    <w:rsid w:val="004238A4"/>
    <w:rsid w:val="00423F82"/>
    <w:rsid w:val="00442B08"/>
    <w:rsid w:val="0044455D"/>
    <w:rsid w:val="00462CFB"/>
    <w:rsid w:val="00494814"/>
    <w:rsid w:val="00496827"/>
    <w:rsid w:val="004A041F"/>
    <w:rsid w:val="004D2EFF"/>
    <w:rsid w:val="004D74A2"/>
    <w:rsid w:val="004D7AC5"/>
    <w:rsid w:val="004E3C57"/>
    <w:rsid w:val="00522428"/>
    <w:rsid w:val="00531188"/>
    <w:rsid w:val="005730BD"/>
    <w:rsid w:val="005945F9"/>
    <w:rsid w:val="005A3309"/>
    <w:rsid w:val="005B5AA0"/>
    <w:rsid w:val="005C5C72"/>
    <w:rsid w:val="005D7AF2"/>
    <w:rsid w:val="005F1915"/>
    <w:rsid w:val="005F2C40"/>
    <w:rsid w:val="0060173E"/>
    <w:rsid w:val="00606A81"/>
    <w:rsid w:val="006121F3"/>
    <w:rsid w:val="00625999"/>
    <w:rsid w:val="00632826"/>
    <w:rsid w:val="006515A2"/>
    <w:rsid w:val="00655C17"/>
    <w:rsid w:val="0068195C"/>
    <w:rsid w:val="006A5C07"/>
    <w:rsid w:val="006B3CF8"/>
    <w:rsid w:val="006B6EFE"/>
    <w:rsid w:val="006C3AF0"/>
    <w:rsid w:val="006C414D"/>
    <w:rsid w:val="006C54E7"/>
    <w:rsid w:val="006D12AC"/>
    <w:rsid w:val="006E64BA"/>
    <w:rsid w:val="00705F5C"/>
    <w:rsid w:val="00711EE4"/>
    <w:rsid w:val="00717EFB"/>
    <w:rsid w:val="007211B5"/>
    <w:rsid w:val="00721D74"/>
    <w:rsid w:val="007419C0"/>
    <w:rsid w:val="00773D76"/>
    <w:rsid w:val="00777031"/>
    <w:rsid w:val="0078055F"/>
    <w:rsid w:val="00787B79"/>
    <w:rsid w:val="007A33FE"/>
    <w:rsid w:val="007A4285"/>
    <w:rsid w:val="007A6BBE"/>
    <w:rsid w:val="007A6F28"/>
    <w:rsid w:val="007D4B14"/>
    <w:rsid w:val="00805A6C"/>
    <w:rsid w:val="00811365"/>
    <w:rsid w:val="0081534A"/>
    <w:rsid w:val="00817041"/>
    <w:rsid w:val="00837466"/>
    <w:rsid w:val="00841225"/>
    <w:rsid w:val="008416AE"/>
    <w:rsid w:val="008461AD"/>
    <w:rsid w:val="00847B54"/>
    <w:rsid w:val="008531A9"/>
    <w:rsid w:val="0087792E"/>
    <w:rsid w:val="00884861"/>
    <w:rsid w:val="00890810"/>
    <w:rsid w:val="00895C96"/>
    <w:rsid w:val="008C2490"/>
    <w:rsid w:val="008D22DF"/>
    <w:rsid w:val="008F3478"/>
    <w:rsid w:val="009054F7"/>
    <w:rsid w:val="00905ADF"/>
    <w:rsid w:val="0091209F"/>
    <w:rsid w:val="00924B6F"/>
    <w:rsid w:val="009473EF"/>
    <w:rsid w:val="00962082"/>
    <w:rsid w:val="00963B7A"/>
    <w:rsid w:val="00976921"/>
    <w:rsid w:val="00992992"/>
    <w:rsid w:val="009950D2"/>
    <w:rsid w:val="009A280F"/>
    <w:rsid w:val="009A4213"/>
    <w:rsid w:val="009B109C"/>
    <w:rsid w:val="009D22F0"/>
    <w:rsid w:val="009F3339"/>
    <w:rsid w:val="009F376C"/>
    <w:rsid w:val="00A118D0"/>
    <w:rsid w:val="00A15A5F"/>
    <w:rsid w:val="00A27607"/>
    <w:rsid w:val="00A60EA0"/>
    <w:rsid w:val="00A72A82"/>
    <w:rsid w:val="00A874F7"/>
    <w:rsid w:val="00A94403"/>
    <w:rsid w:val="00AA0353"/>
    <w:rsid w:val="00AA2FEA"/>
    <w:rsid w:val="00AB25D6"/>
    <w:rsid w:val="00AC3DE7"/>
    <w:rsid w:val="00AE194B"/>
    <w:rsid w:val="00B05F66"/>
    <w:rsid w:val="00B14928"/>
    <w:rsid w:val="00B15E4A"/>
    <w:rsid w:val="00B225B4"/>
    <w:rsid w:val="00B27901"/>
    <w:rsid w:val="00B40917"/>
    <w:rsid w:val="00B5539F"/>
    <w:rsid w:val="00B7031B"/>
    <w:rsid w:val="00B776E5"/>
    <w:rsid w:val="00B93E1E"/>
    <w:rsid w:val="00BB2762"/>
    <w:rsid w:val="00BB6E32"/>
    <w:rsid w:val="00BC2C91"/>
    <w:rsid w:val="00BD2832"/>
    <w:rsid w:val="00BE296D"/>
    <w:rsid w:val="00BE5D10"/>
    <w:rsid w:val="00BF6DBE"/>
    <w:rsid w:val="00C06D7D"/>
    <w:rsid w:val="00C0713E"/>
    <w:rsid w:val="00C101B4"/>
    <w:rsid w:val="00C10E23"/>
    <w:rsid w:val="00C25471"/>
    <w:rsid w:val="00C33997"/>
    <w:rsid w:val="00C375F9"/>
    <w:rsid w:val="00C440CE"/>
    <w:rsid w:val="00C44894"/>
    <w:rsid w:val="00C51B88"/>
    <w:rsid w:val="00C5691B"/>
    <w:rsid w:val="00C606A9"/>
    <w:rsid w:val="00C94F4B"/>
    <w:rsid w:val="00C95BCC"/>
    <w:rsid w:val="00CC768F"/>
    <w:rsid w:val="00CD14C3"/>
    <w:rsid w:val="00CD1E72"/>
    <w:rsid w:val="00CD3AEC"/>
    <w:rsid w:val="00CE0D6D"/>
    <w:rsid w:val="00CF5E1C"/>
    <w:rsid w:val="00D004FA"/>
    <w:rsid w:val="00D412ED"/>
    <w:rsid w:val="00D67427"/>
    <w:rsid w:val="00D7729F"/>
    <w:rsid w:val="00D86426"/>
    <w:rsid w:val="00D91930"/>
    <w:rsid w:val="00DB30B5"/>
    <w:rsid w:val="00DB3913"/>
    <w:rsid w:val="00DB67F6"/>
    <w:rsid w:val="00DB788F"/>
    <w:rsid w:val="00DD0F50"/>
    <w:rsid w:val="00DE26AE"/>
    <w:rsid w:val="00DF02EF"/>
    <w:rsid w:val="00E17E34"/>
    <w:rsid w:val="00E32EB7"/>
    <w:rsid w:val="00E405A5"/>
    <w:rsid w:val="00E5375B"/>
    <w:rsid w:val="00E55387"/>
    <w:rsid w:val="00E57021"/>
    <w:rsid w:val="00E73228"/>
    <w:rsid w:val="00E73B6D"/>
    <w:rsid w:val="00E76398"/>
    <w:rsid w:val="00E83899"/>
    <w:rsid w:val="00E87E09"/>
    <w:rsid w:val="00E90000"/>
    <w:rsid w:val="00E952A1"/>
    <w:rsid w:val="00EA6EE5"/>
    <w:rsid w:val="00EB4FF0"/>
    <w:rsid w:val="00EC15B3"/>
    <w:rsid w:val="00EC5CFA"/>
    <w:rsid w:val="00ED1BA3"/>
    <w:rsid w:val="00ED1EE7"/>
    <w:rsid w:val="00ED6FD1"/>
    <w:rsid w:val="00F02905"/>
    <w:rsid w:val="00F06CD1"/>
    <w:rsid w:val="00F16CBB"/>
    <w:rsid w:val="00F20018"/>
    <w:rsid w:val="00F3538C"/>
    <w:rsid w:val="00F35B1B"/>
    <w:rsid w:val="00F42C37"/>
    <w:rsid w:val="00F43696"/>
    <w:rsid w:val="00F43EC1"/>
    <w:rsid w:val="00F57BE2"/>
    <w:rsid w:val="00F67C40"/>
    <w:rsid w:val="00F923B3"/>
    <w:rsid w:val="00FA14A7"/>
    <w:rsid w:val="00FA1EA7"/>
    <w:rsid w:val="00FA46E1"/>
    <w:rsid w:val="00FB2661"/>
    <w:rsid w:val="00FC396B"/>
    <w:rsid w:val="00FD4698"/>
    <w:rsid w:val="00FF1601"/>
    <w:rsid w:val="00FF56CB"/>
    <w:rsid w:val="24CA5F08"/>
    <w:rsid w:val="514718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5838B"/>
  <w15:docId w15:val="{2E6FB085-29DE-454F-A7D3-4CF9C22D0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B6D"/>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42B0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Heading4">
    <w:name w:val="heading 4"/>
    <w:basedOn w:val="Normal"/>
    <w:next w:val="Normal"/>
    <w:link w:val="Heading4Char"/>
    <w:uiPriority w:val="9"/>
    <w:semiHidden/>
    <w:unhideWhenUsed/>
    <w:qFormat/>
    <w:rsid w:val="009D22F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CCC"/>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D1CCC"/>
    <w:rPr>
      <w:rFonts w:ascii="Tahoma" w:hAnsi="Tahoma" w:cs="Tahoma"/>
      <w:sz w:val="16"/>
      <w:szCs w:val="16"/>
    </w:rPr>
  </w:style>
  <w:style w:type="character" w:customStyle="1" w:styleId="Heading1Char">
    <w:name w:val="Heading 1 Char"/>
    <w:basedOn w:val="DefaultParagraphFont"/>
    <w:link w:val="Heading1"/>
    <w:uiPriority w:val="9"/>
    <w:rsid w:val="00442B0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E17E34"/>
    <w:pPr>
      <w:spacing w:after="200" w:line="276"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D86426"/>
    <w:rPr>
      <w:color w:val="0000FF" w:themeColor="hyperlink"/>
      <w:u w:val="single"/>
    </w:rPr>
  </w:style>
  <w:style w:type="character" w:styleId="CommentReference">
    <w:name w:val="annotation reference"/>
    <w:basedOn w:val="DefaultParagraphFont"/>
    <w:uiPriority w:val="99"/>
    <w:semiHidden/>
    <w:unhideWhenUsed/>
    <w:rsid w:val="00DB30B5"/>
    <w:rPr>
      <w:sz w:val="16"/>
      <w:szCs w:val="16"/>
    </w:rPr>
  </w:style>
  <w:style w:type="paragraph" w:styleId="CommentText">
    <w:name w:val="annotation text"/>
    <w:basedOn w:val="Normal"/>
    <w:link w:val="CommentTextChar"/>
    <w:uiPriority w:val="99"/>
    <w:semiHidden/>
    <w:unhideWhenUsed/>
    <w:rsid w:val="00DB30B5"/>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DB30B5"/>
    <w:rPr>
      <w:sz w:val="20"/>
      <w:szCs w:val="20"/>
    </w:rPr>
  </w:style>
  <w:style w:type="paragraph" w:styleId="CommentSubject">
    <w:name w:val="annotation subject"/>
    <w:basedOn w:val="CommentText"/>
    <w:next w:val="CommentText"/>
    <w:link w:val="CommentSubjectChar"/>
    <w:uiPriority w:val="99"/>
    <w:semiHidden/>
    <w:unhideWhenUsed/>
    <w:rsid w:val="00DB30B5"/>
    <w:rPr>
      <w:b/>
      <w:bCs/>
    </w:rPr>
  </w:style>
  <w:style w:type="character" w:customStyle="1" w:styleId="CommentSubjectChar">
    <w:name w:val="Comment Subject Char"/>
    <w:basedOn w:val="CommentTextChar"/>
    <w:link w:val="CommentSubject"/>
    <w:uiPriority w:val="99"/>
    <w:semiHidden/>
    <w:rsid w:val="00DB30B5"/>
    <w:rPr>
      <w:b/>
      <w:bCs/>
      <w:sz w:val="20"/>
      <w:szCs w:val="20"/>
    </w:rPr>
  </w:style>
  <w:style w:type="paragraph" w:styleId="Header">
    <w:name w:val="header"/>
    <w:basedOn w:val="Normal"/>
    <w:link w:val="HeaderChar"/>
    <w:uiPriority w:val="99"/>
    <w:unhideWhenUsed/>
    <w:rsid w:val="00FC396B"/>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C396B"/>
  </w:style>
  <w:style w:type="paragraph" w:styleId="Footer">
    <w:name w:val="footer"/>
    <w:basedOn w:val="Normal"/>
    <w:link w:val="FooterChar"/>
    <w:uiPriority w:val="99"/>
    <w:unhideWhenUsed/>
    <w:rsid w:val="00FC396B"/>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FC396B"/>
  </w:style>
  <w:style w:type="table" w:styleId="LightList-Accent5">
    <w:name w:val="Light List Accent 5"/>
    <w:basedOn w:val="TableNormal"/>
    <w:uiPriority w:val="61"/>
    <w:rsid w:val="003755EC"/>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FollowedHyperlink">
    <w:name w:val="FollowedHyperlink"/>
    <w:basedOn w:val="DefaultParagraphFont"/>
    <w:uiPriority w:val="99"/>
    <w:semiHidden/>
    <w:unhideWhenUsed/>
    <w:rsid w:val="00CD1E72"/>
    <w:rPr>
      <w:color w:val="800080" w:themeColor="followedHyperlink"/>
      <w:u w:val="single"/>
    </w:rPr>
  </w:style>
  <w:style w:type="paragraph" w:customStyle="1" w:styleId="Default">
    <w:name w:val="Default"/>
    <w:rsid w:val="00F16CBB"/>
    <w:pPr>
      <w:autoSpaceDE w:val="0"/>
      <w:autoSpaceDN w:val="0"/>
      <w:adjustRightInd w:val="0"/>
      <w:spacing w:after="0" w:line="240" w:lineRule="auto"/>
    </w:pPr>
    <w:rPr>
      <w:rFonts w:ascii="Arial" w:hAnsi="Arial" w:cs="Arial"/>
      <w:color w:val="000000"/>
      <w:sz w:val="24"/>
      <w:szCs w:val="24"/>
    </w:rPr>
  </w:style>
  <w:style w:type="paragraph" w:styleId="EndnoteText">
    <w:name w:val="endnote text"/>
    <w:basedOn w:val="Normal"/>
    <w:link w:val="EndnoteTextChar"/>
    <w:uiPriority w:val="99"/>
    <w:semiHidden/>
    <w:unhideWhenUsed/>
    <w:rsid w:val="00F16CBB"/>
    <w:rPr>
      <w:rFonts w:asciiTheme="minorHAnsi" w:eastAsiaTheme="minorHAnsi"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F16CBB"/>
    <w:rPr>
      <w:sz w:val="20"/>
      <w:szCs w:val="20"/>
    </w:rPr>
  </w:style>
  <w:style w:type="character" w:styleId="EndnoteReference">
    <w:name w:val="endnote reference"/>
    <w:basedOn w:val="DefaultParagraphFont"/>
    <w:uiPriority w:val="99"/>
    <w:semiHidden/>
    <w:unhideWhenUsed/>
    <w:rsid w:val="00F16CBB"/>
    <w:rPr>
      <w:vertAlign w:val="superscript"/>
    </w:rPr>
  </w:style>
  <w:style w:type="paragraph" w:styleId="FootnoteText">
    <w:name w:val="footnote text"/>
    <w:basedOn w:val="Normal"/>
    <w:link w:val="FootnoteTextChar"/>
    <w:uiPriority w:val="99"/>
    <w:semiHidden/>
    <w:unhideWhenUsed/>
    <w:rsid w:val="00F16CBB"/>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F16CBB"/>
    <w:rPr>
      <w:sz w:val="20"/>
      <w:szCs w:val="20"/>
    </w:rPr>
  </w:style>
  <w:style w:type="character" w:styleId="FootnoteReference">
    <w:name w:val="footnote reference"/>
    <w:basedOn w:val="DefaultParagraphFont"/>
    <w:uiPriority w:val="99"/>
    <w:semiHidden/>
    <w:unhideWhenUsed/>
    <w:rsid w:val="00F16CBB"/>
    <w:rPr>
      <w:vertAlign w:val="superscript"/>
    </w:rPr>
  </w:style>
  <w:style w:type="character" w:customStyle="1" w:styleId="UnresolvedMention1">
    <w:name w:val="Unresolved Mention1"/>
    <w:basedOn w:val="DefaultParagraphFont"/>
    <w:uiPriority w:val="99"/>
    <w:semiHidden/>
    <w:unhideWhenUsed/>
    <w:rsid w:val="00F35B1B"/>
    <w:rPr>
      <w:color w:val="605E5C"/>
      <w:shd w:val="clear" w:color="auto" w:fill="E1DFDD"/>
    </w:rPr>
  </w:style>
  <w:style w:type="paragraph" w:styleId="NormalWeb">
    <w:name w:val="Normal (Web)"/>
    <w:basedOn w:val="Normal"/>
    <w:uiPriority w:val="99"/>
    <w:unhideWhenUsed/>
    <w:rsid w:val="00773D76"/>
    <w:pPr>
      <w:spacing w:before="100" w:beforeAutospacing="1" w:after="100" w:afterAutospacing="1"/>
    </w:pPr>
  </w:style>
  <w:style w:type="character" w:customStyle="1" w:styleId="markedcontent">
    <w:name w:val="markedcontent"/>
    <w:basedOn w:val="DefaultParagraphFont"/>
    <w:rsid w:val="00E5375B"/>
  </w:style>
  <w:style w:type="table" w:styleId="TableGrid">
    <w:name w:val="Table Grid"/>
    <w:basedOn w:val="TableNormal"/>
    <w:uiPriority w:val="59"/>
    <w:rsid w:val="00E5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E69FE"/>
    <w:pPr>
      <w:spacing w:after="0" w:line="240" w:lineRule="auto"/>
    </w:pPr>
  </w:style>
  <w:style w:type="character" w:customStyle="1" w:styleId="apple-converted-space">
    <w:name w:val="apple-converted-space"/>
    <w:basedOn w:val="DefaultParagraphFont"/>
    <w:rsid w:val="003373B9"/>
  </w:style>
  <w:style w:type="character" w:customStyle="1" w:styleId="Heading4Char">
    <w:name w:val="Heading 4 Char"/>
    <w:basedOn w:val="DefaultParagraphFont"/>
    <w:link w:val="Heading4"/>
    <w:uiPriority w:val="9"/>
    <w:semiHidden/>
    <w:rsid w:val="009D22F0"/>
    <w:rPr>
      <w:rFonts w:asciiTheme="majorHAnsi" w:eastAsiaTheme="majorEastAsia" w:hAnsiTheme="majorHAnsi" w:cstheme="majorBidi"/>
      <w:i/>
      <w:iCs/>
      <w:color w:val="365F91" w:themeColor="accent1" w:themeShade="BF"/>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017595">
      <w:bodyDiv w:val="1"/>
      <w:marLeft w:val="0"/>
      <w:marRight w:val="0"/>
      <w:marTop w:val="0"/>
      <w:marBottom w:val="0"/>
      <w:divBdr>
        <w:top w:val="none" w:sz="0" w:space="0" w:color="auto"/>
        <w:left w:val="none" w:sz="0" w:space="0" w:color="auto"/>
        <w:bottom w:val="none" w:sz="0" w:space="0" w:color="auto"/>
        <w:right w:val="none" w:sz="0" w:space="0" w:color="auto"/>
      </w:divBdr>
    </w:div>
    <w:div w:id="721638505">
      <w:bodyDiv w:val="1"/>
      <w:marLeft w:val="0"/>
      <w:marRight w:val="0"/>
      <w:marTop w:val="0"/>
      <w:marBottom w:val="0"/>
      <w:divBdr>
        <w:top w:val="none" w:sz="0" w:space="0" w:color="auto"/>
        <w:left w:val="none" w:sz="0" w:space="0" w:color="auto"/>
        <w:bottom w:val="none" w:sz="0" w:space="0" w:color="auto"/>
        <w:right w:val="none" w:sz="0" w:space="0" w:color="auto"/>
      </w:divBdr>
    </w:div>
    <w:div w:id="784613170">
      <w:bodyDiv w:val="1"/>
      <w:marLeft w:val="0"/>
      <w:marRight w:val="0"/>
      <w:marTop w:val="0"/>
      <w:marBottom w:val="0"/>
      <w:divBdr>
        <w:top w:val="none" w:sz="0" w:space="0" w:color="auto"/>
        <w:left w:val="none" w:sz="0" w:space="0" w:color="auto"/>
        <w:bottom w:val="none" w:sz="0" w:space="0" w:color="auto"/>
        <w:right w:val="none" w:sz="0" w:space="0" w:color="auto"/>
      </w:divBdr>
      <w:divsChild>
        <w:div w:id="1314915650">
          <w:marLeft w:val="360"/>
          <w:marRight w:val="0"/>
          <w:marTop w:val="0"/>
          <w:marBottom w:val="0"/>
          <w:divBdr>
            <w:top w:val="none" w:sz="0" w:space="0" w:color="auto"/>
            <w:left w:val="none" w:sz="0" w:space="0" w:color="auto"/>
            <w:bottom w:val="none" w:sz="0" w:space="0" w:color="auto"/>
            <w:right w:val="none" w:sz="0" w:space="0" w:color="auto"/>
          </w:divBdr>
        </w:div>
      </w:divsChild>
    </w:div>
    <w:div w:id="828449048">
      <w:bodyDiv w:val="1"/>
      <w:marLeft w:val="0"/>
      <w:marRight w:val="0"/>
      <w:marTop w:val="0"/>
      <w:marBottom w:val="0"/>
      <w:divBdr>
        <w:top w:val="none" w:sz="0" w:space="0" w:color="auto"/>
        <w:left w:val="none" w:sz="0" w:space="0" w:color="auto"/>
        <w:bottom w:val="none" w:sz="0" w:space="0" w:color="auto"/>
        <w:right w:val="none" w:sz="0" w:space="0" w:color="auto"/>
      </w:divBdr>
    </w:div>
    <w:div w:id="883563416">
      <w:bodyDiv w:val="1"/>
      <w:marLeft w:val="0"/>
      <w:marRight w:val="0"/>
      <w:marTop w:val="0"/>
      <w:marBottom w:val="0"/>
      <w:divBdr>
        <w:top w:val="none" w:sz="0" w:space="0" w:color="auto"/>
        <w:left w:val="none" w:sz="0" w:space="0" w:color="auto"/>
        <w:bottom w:val="none" w:sz="0" w:space="0" w:color="auto"/>
        <w:right w:val="none" w:sz="0" w:space="0" w:color="auto"/>
      </w:divBdr>
    </w:div>
    <w:div w:id="1161852459">
      <w:bodyDiv w:val="1"/>
      <w:marLeft w:val="0"/>
      <w:marRight w:val="0"/>
      <w:marTop w:val="0"/>
      <w:marBottom w:val="0"/>
      <w:divBdr>
        <w:top w:val="none" w:sz="0" w:space="0" w:color="auto"/>
        <w:left w:val="none" w:sz="0" w:space="0" w:color="auto"/>
        <w:bottom w:val="none" w:sz="0" w:space="0" w:color="auto"/>
        <w:right w:val="none" w:sz="0" w:space="0" w:color="auto"/>
      </w:divBdr>
    </w:div>
    <w:div w:id="1285774247">
      <w:bodyDiv w:val="1"/>
      <w:marLeft w:val="0"/>
      <w:marRight w:val="0"/>
      <w:marTop w:val="0"/>
      <w:marBottom w:val="0"/>
      <w:divBdr>
        <w:top w:val="none" w:sz="0" w:space="0" w:color="auto"/>
        <w:left w:val="none" w:sz="0" w:space="0" w:color="auto"/>
        <w:bottom w:val="none" w:sz="0" w:space="0" w:color="auto"/>
        <w:right w:val="none" w:sz="0" w:space="0" w:color="auto"/>
      </w:divBdr>
    </w:div>
    <w:div w:id="1398162373">
      <w:bodyDiv w:val="1"/>
      <w:marLeft w:val="0"/>
      <w:marRight w:val="0"/>
      <w:marTop w:val="0"/>
      <w:marBottom w:val="0"/>
      <w:divBdr>
        <w:top w:val="none" w:sz="0" w:space="0" w:color="auto"/>
        <w:left w:val="none" w:sz="0" w:space="0" w:color="auto"/>
        <w:bottom w:val="none" w:sz="0" w:space="0" w:color="auto"/>
        <w:right w:val="none" w:sz="0" w:space="0" w:color="auto"/>
      </w:divBdr>
    </w:div>
    <w:div w:id="1746873913">
      <w:bodyDiv w:val="1"/>
      <w:marLeft w:val="0"/>
      <w:marRight w:val="0"/>
      <w:marTop w:val="0"/>
      <w:marBottom w:val="0"/>
      <w:divBdr>
        <w:top w:val="none" w:sz="0" w:space="0" w:color="auto"/>
        <w:left w:val="none" w:sz="0" w:space="0" w:color="auto"/>
        <w:bottom w:val="none" w:sz="0" w:space="0" w:color="auto"/>
        <w:right w:val="none" w:sz="0" w:space="0" w:color="auto"/>
      </w:divBdr>
    </w:div>
    <w:div w:id="1896507732">
      <w:bodyDiv w:val="1"/>
      <w:marLeft w:val="0"/>
      <w:marRight w:val="0"/>
      <w:marTop w:val="0"/>
      <w:marBottom w:val="0"/>
      <w:divBdr>
        <w:top w:val="none" w:sz="0" w:space="0" w:color="auto"/>
        <w:left w:val="none" w:sz="0" w:space="0" w:color="auto"/>
        <w:bottom w:val="none" w:sz="0" w:space="0" w:color="auto"/>
        <w:right w:val="none" w:sz="0" w:space="0" w:color="auto"/>
      </w:divBdr>
    </w:div>
    <w:div w:id="1967614102">
      <w:bodyDiv w:val="1"/>
      <w:marLeft w:val="0"/>
      <w:marRight w:val="0"/>
      <w:marTop w:val="0"/>
      <w:marBottom w:val="0"/>
      <w:divBdr>
        <w:top w:val="none" w:sz="0" w:space="0" w:color="auto"/>
        <w:left w:val="none" w:sz="0" w:space="0" w:color="auto"/>
        <w:bottom w:val="none" w:sz="0" w:space="0" w:color="auto"/>
        <w:right w:val="none" w:sz="0" w:space="0" w:color="auto"/>
      </w:divBdr>
    </w:div>
    <w:div w:id="2104689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i/item/WHO-2019-nCoV-therapeutics-2022.5" TargetMode="External"/><Relationship Id="rId18" Type="http://schemas.openxmlformats.org/officeDocument/2006/relationships/hyperlink" Target="https://viewer.microguide.global/BSUH/COVIDBSUH" TargetMode="External"/><Relationship Id="rId26" Type="http://schemas.openxmlformats.org/officeDocument/2006/relationships/hyperlink" Target="https://liverpool-covid19.s3.eu-west-2.amazonaws.com/23f1r1d370m1163mi33609uololl?response-content-disposition=inline%3B%20filename%3D%22Covid_PaxlovidCrushing_Nov28.pdf%22%3B%20filename%2A%3DUTF-8%27%27Covid_PaxlovidCrushing_Nov28.pdf&amp;response-content-type=application%2Fpdf&amp;X-Amz-Algorithm=AWS4-HMAC-SHA256&amp;X-Amz-Credential=AKIAI7XER5GUPWKQNOYA%2F20221205%2Feu-west-2%2Fs3%2Faws4_request&amp;X-Amz-Date=20221205T114048Z&amp;X-Amz-Expires=300&amp;X-Amz-SignedHeaders=host&amp;X-Amz-Signature=48c2ef019f25a59552e247bd7e7a8ab738d011cf60f6cc99fc28cdffe559d467" TargetMode="External"/><Relationship Id="rId39" Type="http://schemas.openxmlformats.org/officeDocument/2006/relationships/fontTable" Target="fontTable.xml"/><Relationship Id="rId21" Type="http://schemas.openxmlformats.org/officeDocument/2006/relationships/hyperlink" Target="https://www.covid19-druginteractions.org/" TargetMode="External"/><Relationship Id="rId34" Type="http://schemas.openxmlformats.org/officeDocument/2006/relationships/image" Target="media/image3.png"/><Relationship Id="rId42"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verpool-covid19.s3.eu-west-2.amazonaws.com/23f1r1d370m1163mi33609uololl?response-content-disposition=inline%3B%20filename%3D%22Covid_PaxlovidCrushing_Nov28.pdf%22%3B%20filename%2A%3DUTF-8%27%27Covid_PaxlovidCrushing_Nov28.pdf&amp;response-content-type=application%2Fpdf&amp;X-Amz-Algorithm=AWS4-HMAC-SHA256&amp;X-Amz-Credential=AKIAI7XER5GUPWKQNOYA%2F20221205%2Feu-west-2%2Fs3%2Faws4_request&amp;X-Amz-Date=20221205T114048Z&amp;X-Amz-Expires=300&amp;X-Amz-SignedHeaders=host&amp;X-Amz-Signature=48c2ef019f25a59552e247bd7e7a8ab738d011cf60f6cc99fc28cdffe559d467" TargetMode="External"/><Relationship Id="rId20" Type="http://schemas.openxmlformats.org/officeDocument/2006/relationships/hyperlink" Target="https://www.covid19-druginteractions.org/" TargetMode="External"/><Relationship Id="rId29" Type="http://schemas.openxmlformats.org/officeDocument/2006/relationships/hyperlink" Target="https://www.biorxiv.org/content/10.1101/2021.12.12.472286v1"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uhsussex.research@nhs.net" TargetMode="External"/><Relationship Id="rId32" Type="http://schemas.openxmlformats.org/officeDocument/2006/relationships/hyperlink" Target="https://covid19-druginteractions.org/"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ewer.microguide.global/BSUH/COVIDBSUH" TargetMode="External"/><Relationship Id="rId23" Type="http://schemas.openxmlformats.org/officeDocument/2006/relationships/hyperlink" Target="mailto:uhsussex.COVIDdrugforms@nhs.net" TargetMode="External"/><Relationship Id="rId28" Type="http://schemas.openxmlformats.org/officeDocument/2006/relationships/hyperlink" Target="https://www.medrxiv.org/content/10.1101/2021.11.03.21265533v1"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covid19-druginteractions.org/" TargetMode="External"/><Relationship Id="rId31" Type="http://schemas.openxmlformats.org/officeDocument/2006/relationships/hyperlink" Target="https://www.sps.nhs.uk/home/guidance/covid-19-treatments/oral-antivira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ewer.microguide.global/BSUH/COVIDBSUH" TargetMode="External"/><Relationship Id="rId22" Type="http://schemas.openxmlformats.org/officeDocument/2006/relationships/hyperlink" Target="http://nww.westernsussexhospitals.nhs.uk/departments/pharmacy/covid-19-treatment/" TargetMode="External"/><Relationship Id="rId27" Type="http://schemas.openxmlformats.org/officeDocument/2006/relationships/hyperlink" Target="https://coronavirus-yellowcard.mhra.gov.uk/" TargetMode="External"/><Relationship Id="rId30" Type="http://schemas.openxmlformats.org/officeDocument/2006/relationships/hyperlink" Target="https://www.who.int/publications/i/item/WHO-2019-nCoV-therapeutics-2022.5" TargetMode="External"/><Relationship Id="rId35" Type="http://schemas.openxmlformats.org/officeDocument/2006/relationships/image" Target="media/image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s.mhra.gov.uk/ViewandAcknowledgment/ViewAlert.aspx?AlertID=103219" TargetMode="External"/><Relationship Id="rId17" Type="http://schemas.openxmlformats.org/officeDocument/2006/relationships/hyperlink" Target="https://viewer.microguide.global/BSUH/COVIDBSUH" TargetMode="External"/><Relationship Id="rId25" Type="http://schemas.openxmlformats.org/officeDocument/2006/relationships/hyperlink" Target="https://viewer.microguide.global/BSUH/COVIDBSUH" TargetMode="External"/><Relationship Id="rId33" Type="http://schemas.openxmlformats.org/officeDocument/2006/relationships/image" Target="media/image2.png"/><Relationship Id="rId38"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liverpool-covid19.s3.eu-west-2.amazonaws.com/23f1r1d370m1163mi33609uololl?response-content-disposition=inline%3B%20filename%3D%22Covid_PaxlovidCrushing_Nov28.pdf%22%3B%20filename%2A%3DUTF-8%27%27Covid_PaxlovidCrushing_Nov28.pdf&amp;response-content-type=application%2Fpdf&amp;X-Amz-Algorithm=AWS4-HMAC-SHA256&amp;X-Amz-Credential=AKIAI7XER5GUPWKQNOYA%2F20221205%2Feu-west-2%2Fs3%2Faws4_request&amp;X-Amz-Date=20221205T114048Z&amp;X-Amz-Expires=300&amp;X-Amz-SignedHeaders=host&amp;X-Amz-Signature=48c2ef019f25a59552e247bd7e7a8ab738d011cf60f6cc99fc28cdffe559d46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5337B8E2744B4BBCD7491701B9DCC3" ma:contentTypeVersion="12" ma:contentTypeDescription="Create a new document." ma:contentTypeScope="" ma:versionID="513cd8a459dd76214bde45eadb33912a">
  <xsd:schema xmlns:xsd="http://www.w3.org/2001/XMLSchema" xmlns:xs="http://www.w3.org/2001/XMLSchema" xmlns:p="http://schemas.microsoft.com/office/2006/metadata/properties" xmlns:ns1="http://schemas.microsoft.com/sharepoint/v3" xmlns:ns3="62bc06a2-a890-4896-b59f-568ab24df3a7" xmlns:ns4="a5f78316-273f-40ea-baec-57ae684bb0a9" targetNamespace="http://schemas.microsoft.com/office/2006/metadata/properties" ma:root="true" ma:fieldsID="8be614e52d2a0d05d65fd8adf0a627c1" ns1:_="" ns3:_="" ns4:_="">
    <xsd:import namespace="http://schemas.microsoft.com/sharepoint/v3"/>
    <xsd:import namespace="62bc06a2-a890-4896-b59f-568ab24df3a7"/>
    <xsd:import namespace="a5f78316-273f-40ea-baec-57ae684bb0a9"/>
    <xsd:element name="properties">
      <xsd:complexType>
        <xsd:sequence>
          <xsd:element name="documentManagement">
            <xsd:complexType>
              <xsd:all>
                <xsd:element ref="ns3:SharedWithUsers" minOccurs="0"/>
                <xsd:element ref="ns3:SharedWithDetails" minOccurs="0"/>
                <xsd:element ref="ns3:SharingHintHash" minOccurs="0"/>
                <xsd:element ref="ns1:_ip_UnifiedCompliancePolicyProperties" minOccurs="0"/>
                <xsd:element ref="ns1:_ip_UnifiedCompliancePolicyUIAction"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bc06a2-a890-4896-b59f-568ab24df3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78316-273f-40ea-baec-57ae684bb0a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ACEE5-854B-48BA-9313-97A345B0B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2bc06a2-a890-4896-b59f-568ab24df3a7"/>
    <ds:schemaRef ds:uri="a5f78316-273f-40ea-baec-57ae684bb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F8D088-CD12-4AED-979E-18AAAF3B5603}">
  <ds:schemaRefs>
    <ds:schemaRef ds:uri="http://schemas.microsoft.com/sharepoint/v3/contenttype/forms"/>
  </ds:schemaRefs>
</ds:datastoreItem>
</file>

<file path=customXml/itemProps3.xml><?xml version="1.0" encoding="utf-8"?>
<ds:datastoreItem xmlns:ds="http://schemas.openxmlformats.org/officeDocument/2006/customXml" ds:itemID="{29DA6535-46EF-4FA9-B6F5-FE85835CAF7F}">
  <ds:schemaRefs>
    <ds:schemaRef ds:uri="http://purl.org/dc/elements/1.1/"/>
    <ds:schemaRef ds:uri="http://purl.org/dc/dcmitype/"/>
    <ds:schemaRef ds:uri="http://schemas.microsoft.com/office/2006/documentManagement/types"/>
    <ds:schemaRef ds:uri="62bc06a2-a890-4896-b59f-568ab24df3a7"/>
    <ds:schemaRef ds:uri="a5f78316-273f-40ea-baec-57ae684bb0a9"/>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DF0EB685-2558-46E9-83F9-E04063C74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5578</Words>
  <Characters>31797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37301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Sargent, Catherine</dc:creator>
  <cp:lastModifiedBy>Hendrick, Aoife</cp:lastModifiedBy>
  <cp:revision>2</cp:revision>
  <cp:lastPrinted>2022-02-07T09:11:00Z</cp:lastPrinted>
  <dcterms:created xsi:type="dcterms:W3CDTF">2022-12-23T11:08:00Z</dcterms:created>
  <dcterms:modified xsi:type="dcterms:W3CDTF">2022-12-23T11:08:00Z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0x010100DD5337B8E2744B4BBCD7491701B9DCC3</vt:lpwstr>
  </property>
</Properties>
</file>