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5B65" w14:textId="42C22201" w:rsidR="003D6D3F" w:rsidRDefault="003A5827" w:rsidP="003A5827">
      <w:pPr>
        <w:spacing w:after="0"/>
        <w:jc w:val="right"/>
      </w:pPr>
      <w:r w:rsidRPr="00A27607">
        <w:rPr>
          <w:rFonts w:cstheme="minorHAnsi"/>
          <w:noProof/>
          <w:lang w:eastAsia="en-GB"/>
        </w:rPr>
        <w:drawing>
          <wp:inline distT="0" distB="0" distL="0" distR="0" wp14:anchorId="2D1AF1FB" wp14:editId="7DC20212">
            <wp:extent cx="2665810" cy="746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20363" r="8559" b="17532"/>
                    <a:stretch>
                      <a:fillRect/>
                    </a:stretch>
                  </pic:blipFill>
                  <pic:spPr bwMode="auto">
                    <a:xfrm>
                      <a:off x="0" y="0"/>
                      <a:ext cx="2681263" cy="750475"/>
                    </a:xfrm>
                    <a:prstGeom prst="rect">
                      <a:avLst/>
                    </a:prstGeom>
                    <a:noFill/>
                    <a:ln>
                      <a:noFill/>
                    </a:ln>
                  </pic:spPr>
                </pic:pic>
              </a:graphicData>
            </a:graphic>
          </wp:inline>
        </w:drawing>
      </w:r>
    </w:p>
    <w:p w14:paraId="71F87EA5" w14:textId="602F089C" w:rsidR="00484B29" w:rsidRPr="002B672B" w:rsidRDefault="00484B29" w:rsidP="00484B29">
      <w:pPr>
        <w:pStyle w:val="Heading1"/>
        <w:spacing w:before="120" w:line="240" w:lineRule="auto"/>
        <w:jc w:val="center"/>
        <w:rPr>
          <w:rFonts w:asciiTheme="minorHAnsi" w:hAnsiTheme="minorHAnsi" w:cstheme="minorHAnsi"/>
          <w:color w:val="auto"/>
          <w:sz w:val="24"/>
          <w:szCs w:val="24"/>
        </w:rPr>
      </w:pPr>
      <w:r w:rsidRPr="002B672B">
        <w:rPr>
          <w:rFonts w:asciiTheme="minorHAnsi" w:hAnsiTheme="minorHAnsi" w:cstheme="minorHAnsi"/>
          <w:color w:val="auto"/>
          <w:sz w:val="24"/>
          <w:szCs w:val="24"/>
        </w:rPr>
        <w:t xml:space="preserve">Guideline for the treatment of </w:t>
      </w:r>
      <w:r w:rsidRPr="002B672B">
        <w:rPr>
          <w:rStyle w:val="markedcontent"/>
          <w:rFonts w:asciiTheme="minorHAnsi" w:hAnsiTheme="minorHAnsi" w:cstheme="minorHAnsi"/>
          <w:color w:val="auto"/>
          <w:sz w:val="24"/>
          <w:szCs w:val="24"/>
        </w:rPr>
        <w:t>hospitalised adult patients</w:t>
      </w:r>
      <w:r w:rsidRPr="002B672B">
        <w:rPr>
          <w:rFonts w:asciiTheme="minorHAnsi" w:hAnsiTheme="minorHAnsi" w:cstheme="minorHAnsi"/>
          <w:color w:val="auto"/>
          <w:sz w:val="24"/>
          <w:szCs w:val="24"/>
        </w:rPr>
        <w:t xml:space="preserve"> with COVID-19</w:t>
      </w:r>
      <w:r w:rsidRPr="002B672B">
        <w:rPr>
          <w:rStyle w:val="markedcontent"/>
          <w:rFonts w:asciiTheme="minorHAnsi" w:hAnsiTheme="minorHAnsi" w:cstheme="minorHAnsi"/>
          <w:color w:val="auto"/>
          <w:sz w:val="24"/>
          <w:szCs w:val="24"/>
        </w:rPr>
        <w:t xml:space="preserve"> on oxygen (Group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6015"/>
      </w:tblGrid>
      <w:tr w:rsidR="002146A9" w:rsidRPr="002B672B" w14:paraId="61B8F39E" w14:textId="77777777" w:rsidTr="002146A9">
        <w:trPr>
          <w:jc w:val="center"/>
        </w:trPr>
        <w:tc>
          <w:tcPr>
            <w:tcW w:w="3227" w:type="dxa"/>
          </w:tcPr>
          <w:p w14:paraId="7F3107BD" w14:textId="7B439A1C"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Version</w:t>
            </w:r>
          </w:p>
        </w:tc>
        <w:tc>
          <w:tcPr>
            <w:tcW w:w="6015" w:type="dxa"/>
          </w:tcPr>
          <w:p w14:paraId="1702CE81" w14:textId="1D0178F2" w:rsidR="002146A9" w:rsidRPr="002B672B" w:rsidRDefault="00E21957"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cstheme="minorHAnsi"/>
              </w:rPr>
              <w:t>2</w:t>
            </w:r>
            <w:r w:rsidR="002146A9" w:rsidRPr="002B672B">
              <w:rPr>
                <w:rFonts w:cstheme="minorHAnsi"/>
              </w:rPr>
              <w:t>.1</w:t>
            </w:r>
          </w:p>
        </w:tc>
      </w:tr>
      <w:tr w:rsidR="002146A9" w:rsidRPr="002B672B" w14:paraId="2ADB84E3" w14:textId="77777777" w:rsidTr="002146A9">
        <w:trPr>
          <w:jc w:val="center"/>
        </w:trPr>
        <w:tc>
          <w:tcPr>
            <w:tcW w:w="3227" w:type="dxa"/>
          </w:tcPr>
          <w:p w14:paraId="0F66DC8D" w14:textId="574F13A3"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Approved by</w:t>
            </w:r>
          </w:p>
        </w:tc>
        <w:tc>
          <w:tcPr>
            <w:tcW w:w="6015" w:type="dxa"/>
          </w:tcPr>
          <w:p w14:paraId="7827D321" w14:textId="187A0C81"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cstheme="minorHAnsi"/>
              </w:rPr>
              <w:t xml:space="preserve">Clinical Advisory Group and </w:t>
            </w:r>
            <w:r w:rsidRPr="002B672B">
              <w:rPr>
                <w:rFonts w:cstheme="minorHAnsi"/>
                <w:bCs/>
                <w:color w:val="000000"/>
                <w:bdr w:val="none" w:sz="0" w:space="0" w:color="auto" w:frame="1"/>
              </w:rPr>
              <w:t>Medicines Governance Committee</w:t>
            </w:r>
          </w:p>
        </w:tc>
      </w:tr>
      <w:tr w:rsidR="002146A9" w:rsidRPr="002B672B" w14:paraId="4DBF9A9B" w14:textId="77777777" w:rsidTr="00A542DD">
        <w:trPr>
          <w:jc w:val="center"/>
        </w:trPr>
        <w:tc>
          <w:tcPr>
            <w:tcW w:w="3227" w:type="dxa"/>
          </w:tcPr>
          <w:p w14:paraId="4285C185" w14:textId="2166AE90"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Date approved</w:t>
            </w:r>
          </w:p>
        </w:tc>
        <w:tc>
          <w:tcPr>
            <w:tcW w:w="6015" w:type="dxa"/>
            <w:shd w:val="clear" w:color="auto" w:fill="FFFFFF" w:themeFill="background1"/>
          </w:tcPr>
          <w:p w14:paraId="205DE8FB" w14:textId="370C5FE9" w:rsidR="002146A9" w:rsidRPr="002B672B" w:rsidRDefault="00E21957" w:rsidP="002146A9">
            <w:pPr>
              <w:overflowPunct w:val="0"/>
              <w:autoSpaceDE w:val="0"/>
              <w:autoSpaceDN w:val="0"/>
              <w:adjustRightInd w:val="0"/>
              <w:spacing w:after="0" w:line="240" w:lineRule="auto"/>
              <w:textAlignment w:val="baseline"/>
              <w:rPr>
                <w:rFonts w:eastAsia="Times New Roman" w:cstheme="minorHAnsi"/>
                <w:lang w:eastAsia="en-GB"/>
              </w:rPr>
            </w:pPr>
            <w:r w:rsidRPr="006944AD">
              <w:rPr>
                <w:rFonts w:cstheme="minorHAnsi"/>
              </w:rPr>
              <w:t>5</w:t>
            </w:r>
            <w:r w:rsidR="002146A9" w:rsidRPr="006944AD">
              <w:rPr>
                <w:rFonts w:cstheme="minorHAnsi"/>
                <w:vertAlign w:val="superscript"/>
              </w:rPr>
              <w:t>th</w:t>
            </w:r>
            <w:r w:rsidRPr="006944AD">
              <w:rPr>
                <w:rFonts w:cstheme="minorHAnsi"/>
              </w:rPr>
              <w:t xml:space="preserve"> December</w:t>
            </w:r>
            <w:r w:rsidR="002146A9" w:rsidRPr="006944AD">
              <w:rPr>
                <w:rFonts w:cstheme="minorHAnsi"/>
              </w:rPr>
              <w:t xml:space="preserve"> 2022</w:t>
            </w:r>
          </w:p>
        </w:tc>
      </w:tr>
      <w:tr w:rsidR="002146A9" w:rsidRPr="002B672B" w14:paraId="1E21CF44" w14:textId="77777777" w:rsidTr="00A542DD">
        <w:trPr>
          <w:jc w:val="center"/>
        </w:trPr>
        <w:tc>
          <w:tcPr>
            <w:tcW w:w="3227" w:type="dxa"/>
          </w:tcPr>
          <w:p w14:paraId="4A9B19B4" w14:textId="74B3B7B2"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Name of author(s)</w:t>
            </w:r>
          </w:p>
        </w:tc>
        <w:tc>
          <w:tcPr>
            <w:tcW w:w="6015" w:type="dxa"/>
            <w:shd w:val="clear" w:color="auto" w:fill="FFFFFF" w:themeFill="background1"/>
          </w:tcPr>
          <w:p w14:paraId="0AC20520" w14:textId="36467F0A" w:rsidR="009E000C" w:rsidRPr="002B672B" w:rsidRDefault="002146A9" w:rsidP="002146A9">
            <w:pPr>
              <w:overflowPunct w:val="0"/>
              <w:autoSpaceDE w:val="0"/>
              <w:autoSpaceDN w:val="0"/>
              <w:adjustRightInd w:val="0"/>
              <w:spacing w:after="0"/>
              <w:textAlignment w:val="baseline"/>
              <w:rPr>
                <w:rFonts w:cstheme="minorHAnsi"/>
              </w:rPr>
            </w:pPr>
            <w:r w:rsidRPr="002B672B">
              <w:rPr>
                <w:rFonts w:cstheme="minorHAnsi"/>
              </w:rPr>
              <w:t xml:space="preserve">Prof Martin Llewelyn, </w:t>
            </w:r>
            <w:r w:rsidR="009E000C" w:rsidRPr="002B672B">
              <w:rPr>
                <w:rFonts w:cstheme="minorHAnsi"/>
              </w:rPr>
              <w:t>Dr Bethany Davies</w:t>
            </w:r>
          </w:p>
          <w:p w14:paraId="7B8B6AC2" w14:textId="6C260CB2" w:rsidR="002146A9" w:rsidRPr="002B672B" w:rsidRDefault="002146A9" w:rsidP="002146A9">
            <w:pPr>
              <w:overflowPunct w:val="0"/>
              <w:autoSpaceDE w:val="0"/>
              <w:autoSpaceDN w:val="0"/>
              <w:adjustRightInd w:val="0"/>
              <w:spacing w:after="0"/>
              <w:textAlignment w:val="baseline"/>
              <w:rPr>
                <w:rFonts w:cstheme="minorHAnsi"/>
              </w:rPr>
            </w:pPr>
            <w:r w:rsidRPr="002B672B">
              <w:rPr>
                <w:rFonts w:cstheme="minorHAnsi"/>
              </w:rPr>
              <w:t>Dr Racheol Sierra,</w:t>
            </w:r>
          </w:p>
          <w:p w14:paraId="2BF9F1B1" w14:textId="39548BFE" w:rsidR="002146A9" w:rsidRPr="002B672B" w:rsidRDefault="002146A9" w:rsidP="002146A9">
            <w:pPr>
              <w:overflowPunct w:val="0"/>
              <w:autoSpaceDE w:val="0"/>
              <w:autoSpaceDN w:val="0"/>
              <w:adjustRightInd w:val="0"/>
              <w:spacing w:after="0"/>
              <w:textAlignment w:val="baseline"/>
              <w:rPr>
                <w:rFonts w:cstheme="minorHAnsi"/>
              </w:rPr>
            </w:pPr>
            <w:r w:rsidRPr="002B672B">
              <w:rPr>
                <w:rFonts w:cstheme="minorHAnsi"/>
              </w:rPr>
              <w:t>Aoife Hendrick</w:t>
            </w:r>
          </w:p>
          <w:p w14:paraId="1F3A642D" w14:textId="2EB9CC06"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cstheme="minorHAnsi"/>
              </w:rPr>
              <w:t>David Hilbert, Jo Munns</w:t>
            </w:r>
          </w:p>
        </w:tc>
      </w:tr>
      <w:tr w:rsidR="002146A9" w:rsidRPr="002B672B" w14:paraId="5FDB6A45" w14:textId="77777777" w:rsidTr="00A542DD">
        <w:trPr>
          <w:jc w:val="center"/>
        </w:trPr>
        <w:tc>
          <w:tcPr>
            <w:tcW w:w="3227" w:type="dxa"/>
          </w:tcPr>
          <w:p w14:paraId="12193108" w14:textId="7A63CF6A"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Name of responsible committee</w:t>
            </w:r>
          </w:p>
        </w:tc>
        <w:tc>
          <w:tcPr>
            <w:tcW w:w="6015" w:type="dxa"/>
            <w:shd w:val="clear" w:color="auto" w:fill="FFFFFF" w:themeFill="background1"/>
          </w:tcPr>
          <w:p w14:paraId="1246035B" w14:textId="77777777"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Medicines Governance Group</w:t>
            </w:r>
          </w:p>
          <w:p w14:paraId="6B7AC4C3" w14:textId="4EF908ED" w:rsidR="00E21957" w:rsidRPr="002B672B" w:rsidRDefault="00E21957"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cstheme="minorHAnsi"/>
              </w:rPr>
              <w:t>Clinical Advisory Group</w:t>
            </w:r>
          </w:p>
        </w:tc>
      </w:tr>
      <w:tr w:rsidR="002146A9" w:rsidRPr="002B672B" w14:paraId="693D313E" w14:textId="77777777" w:rsidTr="00A542DD">
        <w:trPr>
          <w:jc w:val="center"/>
        </w:trPr>
        <w:tc>
          <w:tcPr>
            <w:tcW w:w="3227" w:type="dxa"/>
          </w:tcPr>
          <w:p w14:paraId="7F88B599" w14:textId="115ECD26" w:rsidR="002146A9" w:rsidRPr="002B672B" w:rsidRDefault="002146A9" w:rsidP="002146A9">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Date issued</w:t>
            </w:r>
          </w:p>
        </w:tc>
        <w:tc>
          <w:tcPr>
            <w:tcW w:w="6015" w:type="dxa"/>
            <w:shd w:val="clear" w:color="auto" w:fill="auto"/>
          </w:tcPr>
          <w:p w14:paraId="3AABBB4C" w14:textId="58F9D91F" w:rsidR="002146A9" w:rsidRPr="006944AD" w:rsidRDefault="00F03158" w:rsidP="002146A9">
            <w:pPr>
              <w:overflowPunct w:val="0"/>
              <w:autoSpaceDE w:val="0"/>
              <w:autoSpaceDN w:val="0"/>
              <w:adjustRightInd w:val="0"/>
              <w:spacing w:after="0" w:line="240" w:lineRule="auto"/>
              <w:textAlignment w:val="baseline"/>
              <w:rPr>
                <w:rFonts w:eastAsia="Times New Roman" w:cstheme="minorHAnsi"/>
                <w:lang w:eastAsia="en-GB"/>
              </w:rPr>
            </w:pPr>
            <w:r w:rsidRPr="006944AD">
              <w:rPr>
                <w:rFonts w:eastAsia="Times New Roman" w:cstheme="minorHAnsi"/>
                <w:lang w:eastAsia="en-GB"/>
              </w:rPr>
              <w:t>December</w:t>
            </w:r>
            <w:r w:rsidR="002146A9" w:rsidRPr="006944AD">
              <w:rPr>
                <w:rFonts w:eastAsia="Times New Roman" w:cstheme="minorHAnsi"/>
                <w:lang w:eastAsia="en-GB"/>
              </w:rPr>
              <w:t xml:space="preserve"> 2022</w:t>
            </w:r>
          </w:p>
        </w:tc>
      </w:tr>
      <w:tr w:rsidR="001D1CCC" w:rsidRPr="002B672B" w14:paraId="08F5FEE7" w14:textId="77777777" w:rsidTr="00A542DD">
        <w:trPr>
          <w:jc w:val="center"/>
        </w:trPr>
        <w:tc>
          <w:tcPr>
            <w:tcW w:w="3227" w:type="dxa"/>
          </w:tcPr>
          <w:p w14:paraId="6B97012C" w14:textId="597F17BD" w:rsidR="001D1CCC" w:rsidRPr="002B672B" w:rsidRDefault="00621A16" w:rsidP="0002188E">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Review date</w:t>
            </w:r>
          </w:p>
        </w:tc>
        <w:tc>
          <w:tcPr>
            <w:tcW w:w="6015" w:type="dxa"/>
            <w:shd w:val="clear" w:color="auto" w:fill="auto"/>
          </w:tcPr>
          <w:p w14:paraId="1B14D32C" w14:textId="2D0B0AA2" w:rsidR="001D1CCC" w:rsidRPr="006944AD" w:rsidRDefault="00F03158" w:rsidP="00D10B5B">
            <w:pPr>
              <w:overflowPunct w:val="0"/>
              <w:autoSpaceDE w:val="0"/>
              <w:autoSpaceDN w:val="0"/>
              <w:adjustRightInd w:val="0"/>
              <w:spacing w:after="0" w:line="240" w:lineRule="auto"/>
              <w:textAlignment w:val="baseline"/>
              <w:rPr>
                <w:rFonts w:eastAsia="Times New Roman" w:cstheme="minorHAnsi"/>
                <w:lang w:eastAsia="en-GB"/>
              </w:rPr>
            </w:pPr>
            <w:r w:rsidRPr="006944AD">
              <w:rPr>
                <w:rFonts w:eastAsia="Times New Roman" w:cstheme="minorHAnsi"/>
                <w:lang w:eastAsia="en-GB"/>
              </w:rPr>
              <w:t>December</w:t>
            </w:r>
            <w:r w:rsidR="00CD1E72" w:rsidRPr="006944AD">
              <w:rPr>
                <w:rFonts w:eastAsia="Times New Roman" w:cstheme="minorHAnsi"/>
                <w:lang w:eastAsia="en-GB"/>
              </w:rPr>
              <w:t xml:space="preserve"> </w:t>
            </w:r>
            <w:r w:rsidR="00111EC9" w:rsidRPr="006944AD">
              <w:rPr>
                <w:rFonts w:eastAsia="Times New Roman" w:cstheme="minorHAnsi"/>
                <w:lang w:eastAsia="en-GB"/>
              </w:rPr>
              <w:t>202</w:t>
            </w:r>
            <w:r w:rsidR="00D10B5B" w:rsidRPr="006944AD">
              <w:rPr>
                <w:rFonts w:eastAsia="Times New Roman" w:cstheme="minorHAnsi"/>
                <w:lang w:eastAsia="en-GB"/>
              </w:rPr>
              <w:t>3</w:t>
            </w:r>
            <w:r w:rsidR="00350FA8" w:rsidRPr="006944AD">
              <w:rPr>
                <w:rFonts w:eastAsia="Times New Roman" w:cstheme="minorHAnsi"/>
                <w:lang w:eastAsia="en-GB"/>
              </w:rPr>
              <w:t xml:space="preserve"> or sooner if clinical information changes</w:t>
            </w:r>
          </w:p>
        </w:tc>
      </w:tr>
      <w:tr w:rsidR="001D1CCC" w:rsidRPr="002B672B" w14:paraId="2B252991" w14:textId="77777777" w:rsidTr="002146A9">
        <w:trPr>
          <w:jc w:val="center"/>
        </w:trPr>
        <w:tc>
          <w:tcPr>
            <w:tcW w:w="3227" w:type="dxa"/>
          </w:tcPr>
          <w:p w14:paraId="60409512" w14:textId="5680D542" w:rsidR="001D1CCC" w:rsidRPr="002B672B" w:rsidRDefault="00621A16" w:rsidP="0002188E">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Target audience</w:t>
            </w:r>
          </w:p>
        </w:tc>
        <w:tc>
          <w:tcPr>
            <w:tcW w:w="6015" w:type="dxa"/>
          </w:tcPr>
          <w:p w14:paraId="28A3B360" w14:textId="77777777" w:rsidR="001D1CCC" w:rsidRPr="002B672B" w:rsidRDefault="00111EC9" w:rsidP="0002188E">
            <w:pPr>
              <w:overflowPunct w:val="0"/>
              <w:autoSpaceDE w:val="0"/>
              <w:autoSpaceDN w:val="0"/>
              <w:adjustRightInd w:val="0"/>
              <w:spacing w:after="0" w:line="240" w:lineRule="auto"/>
              <w:textAlignment w:val="baseline"/>
              <w:rPr>
                <w:rFonts w:eastAsia="Times New Roman" w:cstheme="minorHAnsi"/>
                <w:lang w:eastAsia="en-GB"/>
              </w:rPr>
            </w:pPr>
            <w:r w:rsidRPr="002B672B">
              <w:rPr>
                <w:rFonts w:eastAsia="Times New Roman" w:cstheme="minorHAnsi"/>
                <w:lang w:eastAsia="en-GB"/>
              </w:rPr>
              <w:t>Health care professionals (nurses/doctors/pharmacists)</w:t>
            </w:r>
          </w:p>
        </w:tc>
      </w:tr>
    </w:tbl>
    <w:p w14:paraId="123F4B02" w14:textId="77777777" w:rsidR="005A3356" w:rsidRPr="002B672B" w:rsidRDefault="005A3356" w:rsidP="002146A9">
      <w:pPr>
        <w:spacing w:after="0"/>
        <w:rPr>
          <w:rFonts w:cstheme="minorHAnsi"/>
        </w:rPr>
      </w:pPr>
    </w:p>
    <w:p w14:paraId="6F9B78CF" w14:textId="7D5DCAF0" w:rsidR="00350FA8" w:rsidRPr="002B672B" w:rsidRDefault="00621A16" w:rsidP="002146A9">
      <w:pPr>
        <w:spacing w:after="0"/>
        <w:rPr>
          <w:rFonts w:cstheme="minorHAnsi"/>
          <w:b/>
          <w:u w:val="single"/>
        </w:rPr>
      </w:pPr>
      <w:r w:rsidRPr="002B672B">
        <w:rPr>
          <w:rFonts w:cstheme="minorHAnsi"/>
          <w:b/>
          <w:u w:val="single"/>
        </w:rPr>
        <w:t>Scope</w:t>
      </w:r>
    </w:p>
    <w:p w14:paraId="14138013" w14:textId="2E00C730" w:rsidR="002146A9" w:rsidRPr="002B672B" w:rsidRDefault="002146A9" w:rsidP="002146A9">
      <w:pPr>
        <w:spacing w:after="0"/>
        <w:rPr>
          <w:rFonts w:cstheme="minorHAnsi"/>
        </w:rPr>
      </w:pPr>
      <w:r w:rsidRPr="002B672B">
        <w:rPr>
          <w:rFonts w:cstheme="minorHAnsi"/>
        </w:rPr>
        <w:t>This document provides guidance for healthcare professionals considering the following treatments (IL-6 Inhibitor (Tocilizumab and Sarilumab</w:t>
      </w:r>
      <w:r w:rsidR="00E3730A" w:rsidRPr="002B672B">
        <w:rPr>
          <w:rFonts w:cstheme="minorHAnsi"/>
        </w:rPr>
        <w:t>)</w:t>
      </w:r>
      <w:r w:rsidRPr="002B672B">
        <w:rPr>
          <w:rFonts w:cstheme="minorHAnsi"/>
        </w:rPr>
        <w:t xml:space="preserve">, Remdesivir and Baricitinib) </w:t>
      </w:r>
      <w:r w:rsidRPr="002B672B">
        <w:rPr>
          <w:rStyle w:val="markedcontent"/>
          <w:rFonts w:cstheme="minorHAnsi"/>
        </w:rPr>
        <w:t>for patients hospitalised due to COVID-19</w:t>
      </w:r>
      <w:r w:rsidRPr="002B672B">
        <w:rPr>
          <w:rFonts w:cstheme="minorHAnsi"/>
        </w:rPr>
        <w:t>. It follows recommendations from the following alerts:</w:t>
      </w:r>
    </w:p>
    <w:p w14:paraId="597EAE9E" w14:textId="173F7298" w:rsidR="009325D5" w:rsidRPr="006944AD" w:rsidRDefault="009325D5" w:rsidP="009325D5">
      <w:pPr>
        <w:pStyle w:val="ListParagraph"/>
        <w:numPr>
          <w:ilvl w:val="0"/>
          <w:numId w:val="23"/>
        </w:numPr>
        <w:spacing w:after="0" w:line="240" w:lineRule="auto"/>
        <w:contextualSpacing w:val="0"/>
        <w:rPr>
          <w:rFonts w:cstheme="minorHAnsi"/>
          <w:color w:val="000000"/>
        </w:rPr>
      </w:pPr>
      <w:r w:rsidRPr="006944AD">
        <w:rPr>
          <w:rFonts w:cstheme="minorHAnsi"/>
        </w:rPr>
        <w:t xml:space="preserve">CMO alert </w:t>
      </w:r>
      <w:hyperlink r:id="rId9" w:history="1">
        <w:r w:rsidR="00E21957" w:rsidRPr="006944AD">
          <w:rPr>
            <w:rStyle w:val="Hyperlink"/>
            <w:rFonts w:cstheme="minorHAnsi"/>
          </w:rPr>
          <w:t>CEM/CMO/2022/018</w:t>
        </w:r>
      </w:hyperlink>
      <w:r w:rsidRPr="006944AD">
        <w:rPr>
          <w:rFonts w:cstheme="minorHAnsi"/>
        </w:rPr>
        <w:t xml:space="preserve"> dated </w:t>
      </w:r>
      <w:r w:rsidR="00E21957" w:rsidRPr="006944AD">
        <w:rPr>
          <w:rFonts w:cstheme="minorHAnsi"/>
        </w:rPr>
        <w:t>29</w:t>
      </w:r>
      <w:r w:rsidR="00E21957" w:rsidRPr="006944AD">
        <w:rPr>
          <w:rFonts w:cstheme="minorHAnsi"/>
          <w:vertAlign w:val="superscript"/>
        </w:rPr>
        <w:t>th</w:t>
      </w:r>
      <w:r w:rsidR="00E21957" w:rsidRPr="006944AD">
        <w:rPr>
          <w:rFonts w:cstheme="minorHAnsi"/>
        </w:rPr>
        <w:t xml:space="preserve"> November 2022 </w:t>
      </w:r>
      <w:r w:rsidRPr="006944AD">
        <w:rPr>
          <w:rFonts w:cstheme="minorHAnsi"/>
        </w:rPr>
        <w:t>(Tocilizumab and Sarilumab)</w:t>
      </w:r>
    </w:p>
    <w:p w14:paraId="6BFDBFB5" w14:textId="18C89686" w:rsidR="009325D5" w:rsidRPr="006944AD" w:rsidRDefault="009325D5" w:rsidP="009325D5">
      <w:pPr>
        <w:pStyle w:val="ListParagraph"/>
        <w:numPr>
          <w:ilvl w:val="0"/>
          <w:numId w:val="23"/>
        </w:numPr>
        <w:spacing w:after="0" w:line="240" w:lineRule="auto"/>
        <w:contextualSpacing w:val="0"/>
        <w:rPr>
          <w:rFonts w:cstheme="minorHAnsi"/>
          <w:color w:val="000000"/>
        </w:rPr>
      </w:pPr>
      <w:r w:rsidRPr="006944AD">
        <w:rPr>
          <w:rFonts w:cstheme="minorHAnsi"/>
        </w:rPr>
        <w:t xml:space="preserve">CMO alert </w:t>
      </w:r>
      <w:hyperlink r:id="rId10" w:history="1">
        <w:r w:rsidR="00E21957" w:rsidRPr="006944AD">
          <w:rPr>
            <w:rStyle w:val="Hyperlink"/>
            <w:rFonts w:cstheme="minorHAnsi"/>
          </w:rPr>
          <w:t>CEM/CMO/2022/016</w:t>
        </w:r>
      </w:hyperlink>
      <w:r w:rsidR="00E21957" w:rsidRPr="006944AD">
        <w:rPr>
          <w:rFonts w:cstheme="minorHAnsi"/>
        </w:rPr>
        <w:t xml:space="preserve"> dated 28</w:t>
      </w:r>
      <w:r w:rsidRPr="006944AD">
        <w:rPr>
          <w:rFonts w:cstheme="minorHAnsi"/>
          <w:vertAlign w:val="superscript"/>
        </w:rPr>
        <w:t>th</w:t>
      </w:r>
      <w:r w:rsidR="00E21957" w:rsidRPr="006944AD">
        <w:rPr>
          <w:rFonts w:cstheme="minorHAnsi"/>
        </w:rPr>
        <w:t xml:space="preserve"> November</w:t>
      </w:r>
      <w:r w:rsidRPr="006944AD">
        <w:rPr>
          <w:rFonts w:cstheme="minorHAnsi"/>
        </w:rPr>
        <w:t xml:space="preserve"> 2022 (Remdesivir)</w:t>
      </w:r>
    </w:p>
    <w:p w14:paraId="00B07A92" w14:textId="09AD395F" w:rsidR="009325D5" w:rsidRPr="006944AD" w:rsidRDefault="009325D5" w:rsidP="009325D5">
      <w:pPr>
        <w:pStyle w:val="ListParagraph"/>
        <w:numPr>
          <w:ilvl w:val="0"/>
          <w:numId w:val="23"/>
        </w:numPr>
        <w:spacing w:after="0" w:line="240" w:lineRule="auto"/>
        <w:contextualSpacing w:val="0"/>
        <w:rPr>
          <w:rFonts w:cstheme="minorHAnsi"/>
          <w:color w:val="000000"/>
        </w:rPr>
      </w:pPr>
      <w:r w:rsidRPr="006944AD">
        <w:rPr>
          <w:rFonts w:cstheme="minorHAnsi"/>
        </w:rPr>
        <w:t xml:space="preserve">CMO alert </w:t>
      </w:r>
      <w:hyperlink r:id="rId11" w:history="1">
        <w:r w:rsidRPr="006944AD">
          <w:rPr>
            <w:rStyle w:val="Hyperlink"/>
            <w:rFonts w:cstheme="minorHAnsi"/>
          </w:rPr>
          <w:t>C</w:t>
        </w:r>
        <w:r w:rsidR="00E21957" w:rsidRPr="006944AD">
          <w:rPr>
            <w:rStyle w:val="Hyperlink"/>
            <w:rFonts w:cstheme="minorHAnsi"/>
          </w:rPr>
          <w:t>EM/CMO/2022/017</w:t>
        </w:r>
      </w:hyperlink>
      <w:r w:rsidRPr="006944AD">
        <w:rPr>
          <w:rFonts w:cstheme="minorHAnsi"/>
        </w:rPr>
        <w:t xml:space="preserve"> dated </w:t>
      </w:r>
      <w:r w:rsidR="00E21957" w:rsidRPr="006944AD">
        <w:rPr>
          <w:rFonts w:cstheme="minorHAnsi"/>
        </w:rPr>
        <w:t>28</w:t>
      </w:r>
      <w:r w:rsidR="00E21957" w:rsidRPr="006944AD">
        <w:rPr>
          <w:rFonts w:cstheme="minorHAnsi"/>
          <w:vertAlign w:val="superscript"/>
        </w:rPr>
        <w:t>th</w:t>
      </w:r>
      <w:r w:rsidR="00E21957" w:rsidRPr="006944AD">
        <w:rPr>
          <w:rFonts w:cstheme="minorHAnsi"/>
        </w:rPr>
        <w:t xml:space="preserve"> November 2022 </w:t>
      </w:r>
      <w:r w:rsidRPr="006944AD">
        <w:rPr>
          <w:rFonts w:cstheme="minorHAnsi"/>
        </w:rPr>
        <w:t>(Baricitinib)</w:t>
      </w:r>
    </w:p>
    <w:p w14:paraId="58321319" w14:textId="66991008" w:rsidR="002146A9" w:rsidRPr="002B672B" w:rsidRDefault="002146A9" w:rsidP="002146A9">
      <w:pPr>
        <w:spacing w:after="0"/>
        <w:rPr>
          <w:rFonts w:cstheme="minorHAnsi"/>
          <w:b/>
        </w:rPr>
      </w:pPr>
    </w:p>
    <w:p w14:paraId="3D51C688" w14:textId="69CABF5D" w:rsidR="00E17E34" w:rsidRPr="002B672B" w:rsidRDefault="00D86426" w:rsidP="00D86426">
      <w:pPr>
        <w:spacing w:after="0"/>
        <w:rPr>
          <w:rFonts w:cstheme="minorHAnsi"/>
          <w:b/>
          <w:u w:val="single"/>
        </w:rPr>
      </w:pPr>
      <w:r w:rsidRPr="002B672B">
        <w:rPr>
          <w:rFonts w:cstheme="minorHAnsi"/>
          <w:b/>
          <w:u w:val="single"/>
        </w:rPr>
        <w:t>E</w:t>
      </w:r>
      <w:r w:rsidR="00FF56CB" w:rsidRPr="002B672B">
        <w:rPr>
          <w:rFonts w:cstheme="minorHAnsi"/>
          <w:b/>
          <w:u w:val="single"/>
        </w:rPr>
        <w:t>vidence summary</w:t>
      </w:r>
    </w:p>
    <w:p w14:paraId="25981034" w14:textId="3DE76E83" w:rsidR="00F16CBB" w:rsidRPr="006944AD" w:rsidRDefault="00350FA8" w:rsidP="00E17E34">
      <w:pPr>
        <w:rPr>
          <w:rFonts w:cstheme="minorHAnsi"/>
        </w:rPr>
      </w:pPr>
      <w:r w:rsidRPr="002B672B">
        <w:rPr>
          <w:rFonts w:cstheme="minorHAnsi"/>
        </w:rPr>
        <w:t>On the 11</w:t>
      </w:r>
      <w:r w:rsidRPr="002B672B">
        <w:rPr>
          <w:rFonts w:cstheme="minorHAnsi"/>
          <w:vertAlign w:val="superscript"/>
        </w:rPr>
        <w:t>th</w:t>
      </w:r>
      <w:r w:rsidRPr="002B672B">
        <w:rPr>
          <w:rFonts w:cstheme="minorHAnsi"/>
        </w:rPr>
        <w:t xml:space="preserve"> </w:t>
      </w:r>
      <w:r w:rsidR="00E17E34" w:rsidRPr="002B672B">
        <w:rPr>
          <w:rFonts w:cstheme="minorHAnsi"/>
        </w:rPr>
        <w:t>February 2021 the RECOVERY trial announced the findi</w:t>
      </w:r>
      <w:r w:rsidR="00D86426" w:rsidRPr="002B672B">
        <w:rPr>
          <w:rFonts w:cstheme="minorHAnsi"/>
        </w:rPr>
        <w:t>ngs of</w:t>
      </w:r>
      <w:r w:rsidR="00D86426" w:rsidRPr="002B672B">
        <w:rPr>
          <w:rFonts w:cstheme="minorHAnsi"/>
          <w:u w:val="single"/>
        </w:rPr>
        <w:t xml:space="preserve"> </w:t>
      </w:r>
      <w:r w:rsidR="00A874F7" w:rsidRPr="002B672B">
        <w:rPr>
          <w:rFonts w:cstheme="minorHAnsi"/>
          <w:u w:val="single"/>
        </w:rPr>
        <w:t>t</w:t>
      </w:r>
      <w:r w:rsidR="00D86426" w:rsidRPr="002B672B">
        <w:rPr>
          <w:rFonts w:cstheme="minorHAnsi"/>
          <w:u w:val="single"/>
        </w:rPr>
        <w:t>ocilizumab</w:t>
      </w:r>
      <w:r w:rsidR="00D86426" w:rsidRPr="002B672B">
        <w:rPr>
          <w:rFonts w:cstheme="minorHAnsi"/>
        </w:rPr>
        <w:t xml:space="preserve"> use in a broader </w:t>
      </w:r>
      <w:r w:rsidR="00E17E34" w:rsidRPr="002B672B">
        <w:rPr>
          <w:rFonts w:cstheme="minorHAnsi"/>
        </w:rPr>
        <w:t xml:space="preserve">hospitalised population, which indicated </w:t>
      </w:r>
      <w:r w:rsidRPr="002B672B">
        <w:rPr>
          <w:rFonts w:cstheme="minorHAnsi"/>
        </w:rPr>
        <w:t>a relative reduction in mortality of 14% at 28 days in hospitalised COVID-19 patients with hypoxia and systemic inflammation.</w:t>
      </w:r>
      <w:r w:rsidR="00E17E34" w:rsidRPr="002B672B">
        <w:rPr>
          <w:rFonts w:cstheme="minorHAnsi"/>
        </w:rPr>
        <w:t xml:space="preserve"> </w:t>
      </w:r>
      <w:r w:rsidRPr="002B672B">
        <w:rPr>
          <w:rFonts w:cstheme="minorHAnsi"/>
        </w:rPr>
        <w:t xml:space="preserve">This benefit was additional to that seen with systemic corticosteroids. </w:t>
      </w:r>
      <w:r w:rsidR="00E17E34" w:rsidRPr="002B672B">
        <w:rPr>
          <w:rFonts w:cstheme="minorHAnsi"/>
        </w:rPr>
        <w:t xml:space="preserve">A rapid evidence </w:t>
      </w:r>
      <w:r w:rsidRPr="002B672B">
        <w:rPr>
          <w:rFonts w:cstheme="minorHAnsi"/>
        </w:rPr>
        <w:t>review published by NICE on 15</w:t>
      </w:r>
      <w:r w:rsidRPr="002B672B">
        <w:rPr>
          <w:rFonts w:cstheme="minorHAnsi"/>
          <w:vertAlign w:val="superscript"/>
        </w:rPr>
        <w:t>th</w:t>
      </w:r>
      <w:r w:rsidRPr="002B672B">
        <w:rPr>
          <w:rFonts w:cstheme="minorHAnsi"/>
        </w:rPr>
        <w:t xml:space="preserve"> </w:t>
      </w:r>
      <w:r w:rsidR="00E17E34" w:rsidRPr="002B672B">
        <w:rPr>
          <w:rFonts w:cstheme="minorHAnsi"/>
        </w:rPr>
        <w:t>January 2021 was based on</w:t>
      </w:r>
      <w:r w:rsidR="00F16CBB" w:rsidRPr="002B672B">
        <w:rPr>
          <w:rFonts w:cstheme="minorHAnsi"/>
        </w:rPr>
        <w:t xml:space="preserve"> the</w:t>
      </w:r>
      <w:r w:rsidR="00E17E34" w:rsidRPr="002B672B">
        <w:rPr>
          <w:rFonts w:cstheme="minorHAnsi"/>
        </w:rPr>
        <w:t xml:space="preserve"> findings of REMAP-CAP trial</w:t>
      </w:r>
      <w:r w:rsidRPr="002B672B">
        <w:rPr>
          <w:rFonts w:cstheme="minorHAnsi"/>
        </w:rPr>
        <w:t xml:space="preserve"> in critically ill adult patients,</w:t>
      </w:r>
      <w:r w:rsidR="00E17E34" w:rsidRPr="002B672B">
        <w:rPr>
          <w:rFonts w:cstheme="minorHAnsi"/>
        </w:rPr>
        <w:t xml:space="preserve"> the </w:t>
      </w:r>
      <w:r w:rsidR="006A1041" w:rsidRPr="002B672B">
        <w:rPr>
          <w:rFonts w:cstheme="minorHAnsi"/>
        </w:rPr>
        <w:t>review was</w:t>
      </w:r>
      <w:r w:rsidR="00F16CBB" w:rsidRPr="002B672B">
        <w:rPr>
          <w:rFonts w:cstheme="minorHAnsi"/>
        </w:rPr>
        <w:t xml:space="preserve"> </w:t>
      </w:r>
      <w:r w:rsidR="00E17E34" w:rsidRPr="002B672B">
        <w:rPr>
          <w:rFonts w:cstheme="minorHAnsi"/>
        </w:rPr>
        <w:t>updated with the RECOVERY</w:t>
      </w:r>
      <w:r w:rsidR="00D86426" w:rsidRPr="002B672B">
        <w:rPr>
          <w:rFonts w:cstheme="minorHAnsi"/>
        </w:rPr>
        <w:t xml:space="preserve"> trial results</w:t>
      </w:r>
      <w:r w:rsidR="00F16CBB" w:rsidRPr="002B672B">
        <w:rPr>
          <w:rFonts w:cstheme="minorHAnsi"/>
        </w:rPr>
        <w:t xml:space="preserve"> and new guidance NICE Rapid Guideline on managing COVID-19 published in March</w:t>
      </w:r>
      <w:r w:rsidR="002B672B" w:rsidRPr="002B672B">
        <w:rPr>
          <w:rFonts w:cstheme="minorHAnsi"/>
        </w:rPr>
        <w:t xml:space="preserve"> 2021</w:t>
      </w:r>
      <w:r w:rsidR="00F16CBB" w:rsidRPr="002B672B">
        <w:rPr>
          <w:rFonts w:cstheme="minorHAnsi"/>
        </w:rPr>
        <w:t xml:space="preserve"> and since</w:t>
      </w:r>
      <w:r w:rsidR="002B672B" w:rsidRPr="002B672B">
        <w:rPr>
          <w:rFonts w:cstheme="minorHAnsi"/>
        </w:rPr>
        <w:t xml:space="preserve"> updated, most </w:t>
      </w:r>
      <w:r w:rsidR="002B672B" w:rsidRPr="006944AD">
        <w:rPr>
          <w:rFonts w:cstheme="minorHAnsi"/>
        </w:rPr>
        <w:t>recently on the 11</w:t>
      </w:r>
      <w:r w:rsidR="002146A9" w:rsidRPr="006944AD">
        <w:rPr>
          <w:rFonts w:cstheme="minorHAnsi"/>
          <w:vertAlign w:val="superscript"/>
        </w:rPr>
        <w:t>th</w:t>
      </w:r>
      <w:r w:rsidR="002B672B" w:rsidRPr="006944AD">
        <w:rPr>
          <w:rFonts w:cstheme="minorHAnsi"/>
        </w:rPr>
        <w:t xml:space="preserve"> November</w:t>
      </w:r>
      <w:r w:rsidR="002146A9" w:rsidRPr="006944AD">
        <w:rPr>
          <w:rFonts w:cstheme="minorHAnsi"/>
        </w:rPr>
        <w:t xml:space="preserve"> 2022</w:t>
      </w:r>
      <w:r w:rsidR="002B672B" w:rsidRPr="006944AD">
        <w:rPr>
          <w:rFonts w:cstheme="minorHAnsi"/>
        </w:rPr>
        <w:t xml:space="preserve"> version 27.6</w:t>
      </w:r>
      <w:r w:rsidR="00F16CBB" w:rsidRPr="006944AD">
        <w:rPr>
          <w:rFonts w:cstheme="minorHAnsi"/>
        </w:rPr>
        <w:t>.</w:t>
      </w:r>
    </w:p>
    <w:p w14:paraId="3C057923" w14:textId="08EEED8A" w:rsidR="002146A9" w:rsidRPr="006944AD" w:rsidRDefault="00F16CBB">
      <w:pPr>
        <w:rPr>
          <w:rFonts w:cstheme="minorHAnsi"/>
        </w:rPr>
      </w:pPr>
      <w:r w:rsidRPr="006944AD">
        <w:rPr>
          <w:rFonts w:cstheme="minorHAnsi"/>
        </w:rPr>
        <w:t xml:space="preserve">New evidence and guidance have since emerged </w:t>
      </w:r>
      <w:r w:rsidR="00F35B1B" w:rsidRPr="006944AD">
        <w:rPr>
          <w:rFonts w:cstheme="minorHAnsi"/>
        </w:rPr>
        <w:t>supporting</w:t>
      </w:r>
      <w:r w:rsidRPr="006944AD">
        <w:rPr>
          <w:rFonts w:cstheme="minorHAnsi"/>
        </w:rPr>
        <w:t xml:space="preserve"> equivalence </w:t>
      </w:r>
      <w:r w:rsidR="00F35B1B" w:rsidRPr="006944AD">
        <w:rPr>
          <w:rFonts w:cstheme="minorHAnsi"/>
        </w:rPr>
        <w:t>of</w:t>
      </w:r>
      <w:r w:rsidRPr="006944AD">
        <w:rPr>
          <w:rFonts w:cstheme="minorHAnsi"/>
        </w:rPr>
        <w:t xml:space="preserve"> the two IL-6 inhibitors. Further evidence from the REMAP-CAP trial has demonstrated equivalent effects of both IL-6 inhibitors on survival and requirement for organ support (84.9% posterior probability of equivalence). </w:t>
      </w:r>
    </w:p>
    <w:p w14:paraId="511B8B18" w14:textId="652672A3" w:rsidR="00E21957" w:rsidRPr="002B672B" w:rsidRDefault="00E21957">
      <w:pPr>
        <w:rPr>
          <w:rFonts w:cstheme="minorHAnsi"/>
        </w:rPr>
      </w:pPr>
      <w:r w:rsidRPr="006944AD">
        <w:rPr>
          <w:rFonts w:cstheme="minorHAnsi"/>
        </w:rPr>
        <w:t>The licence for tocilizumab, which was updated in December 2021 to include authorisation for use in the treatment of COVID-19 in adults who are receiving systemic corticosteroids and require supplemental oxygen or mechanical ventilation. This now places tocilizumab as the first-line IL-6 inhibitor for hospitalised patients with COVID-19. Patients may continue to be considered for treatment with sarilumab where tocilizumab is unavailable for this indication or cannot be used.</w:t>
      </w:r>
    </w:p>
    <w:p w14:paraId="6EC094FE" w14:textId="0C168D6E" w:rsidR="00936BA1" w:rsidRPr="002B672B" w:rsidRDefault="00936BA1">
      <w:pPr>
        <w:rPr>
          <w:rFonts w:cstheme="minorHAnsi"/>
        </w:rPr>
      </w:pPr>
      <w:r w:rsidRPr="002B672B">
        <w:rPr>
          <w:rFonts w:cstheme="minorHAnsi"/>
        </w:rPr>
        <w:lastRenderedPageBreak/>
        <w:t xml:space="preserve">Results from the RECOVERY trial demonstrate that </w:t>
      </w:r>
      <w:r w:rsidRPr="002B672B">
        <w:rPr>
          <w:rFonts w:cstheme="minorHAnsi"/>
          <w:u w:val="single"/>
        </w:rPr>
        <w:t>baricitinib</w:t>
      </w:r>
      <w:r w:rsidRPr="002B672B">
        <w:rPr>
          <w:rFonts w:cstheme="minorHAnsi"/>
        </w:rPr>
        <w:t xml:space="preserve"> significantly reduces the risk of death when given to hospitalised patients with severe COVID-19, 12% of the patients in the baricitinib group died within 28 days compared with 14% patients in the usual care group, a relative reduction of 13%. The benefit of baricitinib was consistent regardless of which other COVID-19 treatments the patients were also receiving, including corticosteroids, tocilizumab, or remdesivir.</w:t>
      </w:r>
    </w:p>
    <w:p w14:paraId="74E3F538" w14:textId="27D6FAD6" w:rsidR="002146A9" w:rsidRPr="006944AD" w:rsidRDefault="002146A9" w:rsidP="002146A9">
      <w:pPr>
        <w:rPr>
          <w:rStyle w:val="markedcontent"/>
          <w:rFonts w:cstheme="minorHAnsi"/>
        </w:rPr>
      </w:pPr>
      <w:r w:rsidRPr="002B672B">
        <w:rPr>
          <w:rStyle w:val="markedcontent"/>
          <w:rFonts w:cstheme="minorHAnsi"/>
        </w:rPr>
        <w:t xml:space="preserve">Current evidence shows that </w:t>
      </w:r>
      <w:r w:rsidRPr="002B672B">
        <w:rPr>
          <w:rStyle w:val="markedcontent"/>
          <w:rFonts w:cstheme="minorHAnsi"/>
          <w:u w:val="single"/>
        </w:rPr>
        <w:t>remdesivir</w:t>
      </w:r>
      <w:r w:rsidRPr="002B672B">
        <w:rPr>
          <w:rStyle w:val="markedcontent"/>
          <w:rFonts w:cstheme="minorHAnsi"/>
        </w:rPr>
        <w:t xml:space="preserve"> improves clinical outcomes in both hospitalised and</w:t>
      </w:r>
      <w:r w:rsidRPr="002B672B">
        <w:rPr>
          <w:rFonts w:cstheme="minorHAnsi"/>
        </w:rPr>
        <w:t xml:space="preserve"> </w:t>
      </w:r>
      <w:r w:rsidRPr="002B672B">
        <w:rPr>
          <w:rStyle w:val="markedcontent"/>
          <w:rFonts w:cstheme="minorHAnsi"/>
        </w:rPr>
        <w:t>non-hospitalised patients with COVID-19.  Evidence from the ACTT-1 trial showed that remdesivir improved</w:t>
      </w:r>
      <w:r w:rsidRPr="002B672B">
        <w:rPr>
          <w:rFonts w:cstheme="minorHAnsi"/>
        </w:rPr>
        <w:t xml:space="preserve"> </w:t>
      </w:r>
      <w:r w:rsidRPr="002B672B">
        <w:rPr>
          <w:rStyle w:val="markedcontent"/>
          <w:rFonts w:cstheme="minorHAnsi"/>
        </w:rPr>
        <w:t>time to recovery in patients hospitalised with COVID-19 by 5 days compared to placebo</w:t>
      </w:r>
      <w:r w:rsidRPr="002B672B">
        <w:rPr>
          <w:rFonts w:cstheme="minorHAnsi"/>
        </w:rPr>
        <w:t xml:space="preserve"> </w:t>
      </w:r>
      <w:r w:rsidRPr="002B672B">
        <w:rPr>
          <w:rStyle w:val="markedcontent"/>
          <w:rFonts w:cstheme="minorHAnsi"/>
        </w:rPr>
        <w:t>(</w:t>
      </w:r>
      <w:proofErr w:type="spellStart"/>
      <w:r w:rsidRPr="002B672B">
        <w:rPr>
          <w:rStyle w:val="markedcontent"/>
          <w:rFonts w:cstheme="minorHAnsi"/>
        </w:rPr>
        <w:t>Beigel</w:t>
      </w:r>
      <w:proofErr w:type="spellEnd"/>
      <w:r w:rsidRPr="002B672B">
        <w:rPr>
          <w:rStyle w:val="markedcontent"/>
          <w:rFonts w:cstheme="minorHAnsi"/>
        </w:rPr>
        <w:t xml:space="preserve"> et al, 2020).</w:t>
      </w:r>
      <w:r w:rsidRPr="002B672B">
        <w:rPr>
          <w:rFonts w:cstheme="minorHAnsi"/>
          <w:b/>
        </w:rPr>
        <w:t xml:space="preserve"> </w:t>
      </w:r>
      <w:r w:rsidRPr="002B672B">
        <w:rPr>
          <w:rFonts w:cstheme="minorHAnsi"/>
        </w:rPr>
        <w:t xml:space="preserve">This conflicts with the conclusion of the WHO Solidarity trial in which remdesivir appeared to have little or no effect on hospitalised Covid-19, as indicated by mortality, initiation of </w:t>
      </w:r>
      <w:r w:rsidRPr="006944AD">
        <w:rPr>
          <w:rFonts w:cstheme="minorHAnsi"/>
        </w:rPr>
        <w:t xml:space="preserve">ventilation and duration of hospital stay </w:t>
      </w:r>
      <w:r w:rsidRPr="006944AD">
        <w:rPr>
          <w:rStyle w:val="markedcontent"/>
          <w:rFonts w:cstheme="minorHAnsi"/>
        </w:rPr>
        <w:t>(Pan et al, 2020).</w:t>
      </w:r>
    </w:p>
    <w:p w14:paraId="6CEA5474" w14:textId="10FE5BF1" w:rsidR="002146A9" w:rsidRPr="006944AD" w:rsidRDefault="002B672B" w:rsidP="002146A9">
      <w:pPr>
        <w:spacing w:after="0"/>
        <w:rPr>
          <w:rFonts w:cstheme="minorHAnsi"/>
        </w:rPr>
      </w:pPr>
      <w:r w:rsidRPr="006944AD">
        <w:rPr>
          <w:rFonts w:cstheme="minorHAnsi"/>
        </w:rPr>
        <w:t>The World Health Organization (WHO) updated its ’</w:t>
      </w:r>
      <w:hyperlink r:id="rId12" w:history="1">
        <w:r w:rsidRPr="006944AD">
          <w:rPr>
            <w:rStyle w:val="Hyperlink"/>
            <w:rFonts w:cstheme="minorHAnsi"/>
          </w:rPr>
          <w:t>Therapeutics and COVID-19: Living guideline</w:t>
        </w:r>
      </w:hyperlink>
      <w:r w:rsidRPr="006944AD">
        <w:rPr>
          <w:rFonts w:cstheme="minorHAnsi"/>
        </w:rPr>
        <w:t xml:space="preserve">’ on 16 September 2022 and the recommendations have been considered in the development of the </w:t>
      </w:r>
      <w:r w:rsidR="006A1041" w:rsidRPr="006944AD">
        <w:rPr>
          <w:rFonts w:cstheme="minorHAnsi"/>
        </w:rPr>
        <w:t>commissioning</w:t>
      </w:r>
      <w:r w:rsidRPr="006944AD">
        <w:rPr>
          <w:rFonts w:cstheme="minorHAnsi"/>
        </w:rPr>
        <w:t xml:space="preserve"> policies, on which this guidance is based.</w:t>
      </w:r>
    </w:p>
    <w:p w14:paraId="00563A96" w14:textId="77777777" w:rsidR="002B672B" w:rsidRPr="006944AD" w:rsidRDefault="002B672B" w:rsidP="002146A9">
      <w:pPr>
        <w:spacing w:after="0"/>
        <w:rPr>
          <w:rFonts w:cstheme="minorHAnsi"/>
        </w:rPr>
      </w:pPr>
    </w:p>
    <w:p w14:paraId="013B7F1D" w14:textId="39257445" w:rsidR="00DF02EF" w:rsidRPr="006944AD" w:rsidRDefault="00DF02EF" w:rsidP="002146A9">
      <w:pPr>
        <w:spacing w:after="0"/>
        <w:rPr>
          <w:rFonts w:cstheme="minorHAnsi"/>
          <w:u w:val="single"/>
        </w:rPr>
      </w:pPr>
      <w:r w:rsidRPr="006944AD">
        <w:rPr>
          <w:rFonts w:cstheme="minorHAnsi"/>
          <w:b/>
          <w:u w:val="single"/>
        </w:rPr>
        <w:t>I</w:t>
      </w:r>
      <w:r w:rsidR="00350FA8" w:rsidRPr="006944AD">
        <w:rPr>
          <w:rFonts w:cstheme="minorHAnsi"/>
          <w:b/>
          <w:u w:val="single"/>
        </w:rPr>
        <w:t>ndication</w:t>
      </w:r>
    </w:p>
    <w:p w14:paraId="536E058A" w14:textId="1DF7751B" w:rsidR="004D74A2" w:rsidRPr="006944AD" w:rsidRDefault="002146A9" w:rsidP="00350FA8">
      <w:pPr>
        <w:rPr>
          <w:rFonts w:cstheme="minorHAnsi"/>
        </w:rPr>
      </w:pPr>
      <w:r w:rsidRPr="006944AD">
        <w:rPr>
          <w:rFonts w:cstheme="minorHAnsi"/>
        </w:rPr>
        <w:t xml:space="preserve">Tocilizumab, </w:t>
      </w:r>
      <w:r w:rsidR="006B2A2A" w:rsidRPr="006944AD">
        <w:rPr>
          <w:rFonts w:cstheme="minorHAnsi"/>
        </w:rPr>
        <w:t>s</w:t>
      </w:r>
      <w:r w:rsidR="00606A81" w:rsidRPr="006944AD">
        <w:rPr>
          <w:rFonts w:cstheme="minorHAnsi"/>
        </w:rPr>
        <w:t>arilumab</w:t>
      </w:r>
      <w:r w:rsidRPr="006944AD">
        <w:rPr>
          <w:rFonts w:cstheme="minorHAnsi"/>
        </w:rPr>
        <w:t xml:space="preserve">, </w:t>
      </w:r>
      <w:r w:rsidR="006B2A2A" w:rsidRPr="006944AD">
        <w:rPr>
          <w:rFonts w:cstheme="minorHAnsi"/>
        </w:rPr>
        <w:t>r</w:t>
      </w:r>
      <w:r w:rsidRPr="006944AD">
        <w:rPr>
          <w:rFonts w:cstheme="minorHAnsi"/>
        </w:rPr>
        <w:t xml:space="preserve">emdesivir or </w:t>
      </w:r>
      <w:r w:rsidR="006B2A2A" w:rsidRPr="006944AD">
        <w:rPr>
          <w:rFonts w:cstheme="minorHAnsi"/>
        </w:rPr>
        <w:t>b</w:t>
      </w:r>
      <w:r w:rsidRPr="006944AD">
        <w:rPr>
          <w:rFonts w:cstheme="minorHAnsi"/>
        </w:rPr>
        <w:t>aricitinib</w:t>
      </w:r>
      <w:r w:rsidR="00606A81" w:rsidRPr="006944AD">
        <w:rPr>
          <w:rFonts w:cstheme="minorHAnsi"/>
        </w:rPr>
        <w:t xml:space="preserve"> should be considered as </w:t>
      </w:r>
      <w:r w:rsidR="00606A81" w:rsidRPr="006944AD">
        <w:rPr>
          <w:rFonts w:cstheme="minorHAnsi"/>
          <w:b/>
        </w:rPr>
        <w:t>adjuvant treatment to dexamethasone</w:t>
      </w:r>
      <w:r w:rsidR="00606A81" w:rsidRPr="006944AD">
        <w:rPr>
          <w:rFonts w:cstheme="minorHAnsi"/>
        </w:rPr>
        <w:t xml:space="preserve"> (as standard care) in eligible </w:t>
      </w:r>
      <w:r w:rsidR="00606A81" w:rsidRPr="006944AD">
        <w:rPr>
          <w:rFonts w:cstheme="minorHAnsi"/>
          <w:b/>
        </w:rPr>
        <w:t>hospitalised</w:t>
      </w:r>
      <w:r w:rsidR="00606A81" w:rsidRPr="006944AD">
        <w:rPr>
          <w:rFonts w:cstheme="minorHAnsi"/>
        </w:rPr>
        <w:t xml:space="preserve"> patients</w:t>
      </w:r>
      <w:r w:rsidR="00F16CBB" w:rsidRPr="006944AD">
        <w:rPr>
          <w:rFonts w:cstheme="minorHAnsi"/>
        </w:rPr>
        <w:t>.</w:t>
      </w:r>
    </w:p>
    <w:p w14:paraId="2602771C" w14:textId="7D271D68" w:rsidR="00C317C4" w:rsidRPr="006944AD" w:rsidRDefault="00820EA6" w:rsidP="00820EA6">
      <w:pPr>
        <w:rPr>
          <w:rFonts w:cstheme="minorHAnsi"/>
        </w:rPr>
      </w:pPr>
      <w:r w:rsidRPr="006944AD">
        <w:rPr>
          <w:rFonts w:cstheme="minorHAnsi"/>
        </w:rPr>
        <w:t>Patients must meet all of the eligibility criteria and none of the exclusion criteria below.</w:t>
      </w:r>
      <w:r w:rsidR="002146A9" w:rsidRPr="006944AD">
        <w:rPr>
          <w:rFonts w:cstheme="minorHAnsi"/>
        </w:rPr>
        <w:t xml:space="preserve"> The eligibility and exclusion criteria will vary for each of the drugs.</w:t>
      </w:r>
    </w:p>
    <w:p w14:paraId="679A3244" w14:textId="4EB21060" w:rsidR="00ED1EE7" w:rsidRPr="002B672B" w:rsidRDefault="00F03158" w:rsidP="002B672B">
      <w:pPr>
        <w:rPr>
          <w:rFonts w:cstheme="minorHAnsi"/>
        </w:rPr>
      </w:pPr>
      <w:r w:rsidRPr="006944AD">
        <w:rPr>
          <w:rFonts w:cstheme="minorHAnsi"/>
        </w:rPr>
        <w:t>IL-6 inhibitors may be administered in combination with baricitinib (as well as corticosteroids, unless contraindicated), according to clinical judgement, in patients with severe or critical COVID-19.</w:t>
      </w:r>
    </w:p>
    <w:p w14:paraId="1E29B405" w14:textId="64592E4B" w:rsidR="00350FA8" w:rsidRPr="002B672B" w:rsidRDefault="00ED1EE7" w:rsidP="00DB30B5">
      <w:pPr>
        <w:spacing w:after="0"/>
        <w:rPr>
          <w:rFonts w:cstheme="minorHAnsi"/>
          <w:b/>
          <w:u w:val="single"/>
        </w:rPr>
      </w:pPr>
      <w:r w:rsidRPr="002B672B">
        <w:rPr>
          <w:rFonts w:cstheme="minorHAnsi"/>
          <w:b/>
          <w:u w:val="single"/>
        </w:rPr>
        <w:t>Eligibility criteria</w:t>
      </w:r>
      <w:r w:rsidR="006B2A2A" w:rsidRPr="002B672B">
        <w:rPr>
          <w:rFonts w:cstheme="minorHAnsi"/>
          <w:b/>
          <w:u w:val="single"/>
        </w:rPr>
        <w:t xml:space="preserve"> for all of </w:t>
      </w:r>
      <w:r w:rsidR="009325D5" w:rsidRPr="002B672B">
        <w:rPr>
          <w:rFonts w:cstheme="minorHAnsi"/>
          <w:b/>
          <w:u w:val="single"/>
        </w:rPr>
        <w:t>the treatments discussed in this guideline</w:t>
      </w:r>
      <w:r w:rsidR="00E17E34" w:rsidRPr="002B672B">
        <w:rPr>
          <w:rFonts w:cstheme="minorHAnsi"/>
          <w:b/>
          <w:u w:val="single"/>
        </w:rPr>
        <w:t>:</w:t>
      </w:r>
    </w:p>
    <w:p w14:paraId="16DE0A1A" w14:textId="5CF1ABC1" w:rsidR="00350FA8" w:rsidRPr="002B672B" w:rsidRDefault="00350FA8" w:rsidP="00350FA8">
      <w:pPr>
        <w:numPr>
          <w:ilvl w:val="0"/>
          <w:numId w:val="1"/>
        </w:numPr>
        <w:tabs>
          <w:tab w:val="left" w:pos="1080"/>
        </w:tabs>
        <w:spacing w:after="0" w:line="0" w:lineRule="atLeast"/>
        <w:rPr>
          <w:rFonts w:cstheme="minorHAnsi"/>
        </w:rPr>
      </w:pPr>
      <w:r w:rsidRPr="002B672B">
        <w:rPr>
          <w:rFonts w:cstheme="minorHAnsi"/>
        </w:rPr>
        <w:t>SARS-CoV-2 infection confirmed by PCR</w:t>
      </w:r>
      <w:r w:rsidR="002146A9" w:rsidRPr="002B672B">
        <w:rPr>
          <w:rFonts w:cstheme="minorHAnsi"/>
        </w:rPr>
        <w:t>/LFT</w:t>
      </w:r>
      <w:r w:rsidRPr="002B672B">
        <w:rPr>
          <w:rFonts w:cstheme="minorHAnsi"/>
        </w:rPr>
        <w:t xml:space="preserve"> </w:t>
      </w:r>
      <w:r w:rsidRPr="002B672B">
        <w:rPr>
          <w:rFonts w:cstheme="minorHAnsi"/>
          <w:b/>
          <w:u w:val="single"/>
        </w:rPr>
        <w:t>OR</w:t>
      </w:r>
      <w:r w:rsidRPr="002B672B">
        <w:rPr>
          <w:rFonts w:cstheme="minorHAnsi"/>
        </w:rPr>
        <w:t xml:space="preserve"> in the absence of a confirmed </w:t>
      </w:r>
      <w:proofErr w:type="spellStart"/>
      <w:r w:rsidRPr="002B672B">
        <w:rPr>
          <w:rFonts w:cstheme="minorHAnsi"/>
        </w:rPr>
        <w:t>virological</w:t>
      </w:r>
      <w:proofErr w:type="spellEnd"/>
      <w:r w:rsidRPr="002B672B">
        <w:rPr>
          <w:rFonts w:cstheme="minorHAnsi"/>
        </w:rPr>
        <w:t xml:space="preserve"> diagnosis </w:t>
      </w:r>
      <w:r w:rsidRPr="002B672B">
        <w:rPr>
          <w:rFonts w:cstheme="minorHAnsi"/>
          <w:b/>
        </w:rPr>
        <w:t>only</w:t>
      </w:r>
      <w:r w:rsidRPr="002B672B">
        <w:rPr>
          <w:rFonts w:cstheme="minorHAnsi"/>
        </w:rPr>
        <w:t xml:space="preserve"> when a multidisciplinary team have a high level of confidence that the clinical and radiological features suggest that COVID-19 is the most likely diagnosis</w:t>
      </w:r>
    </w:p>
    <w:p w14:paraId="19EDE877" w14:textId="3E56E627" w:rsidR="002146A9" w:rsidRPr="002B672B" w:rsidRDefault="00DB30B5" w:rsidP="002146A9">
      <w:pPr>
        <w:pStyle w:val="ListParagraph"/>
        <w:numPr>
          <w:ilvl w:val="0"/>
          <w:numId w:val="1"/>
        </w:numPr>
        <w:rPr>
          <w:rFonts w:cstheme="minorHAnsi"/>
        </w:rPr>
      </w:pPr>
      <w:r w:rsidRPr="002B672B">
        <w:rPr>
          <w:rFonts w:cstheme="minorHAnsi"/>
        </w:rPr>
        <w:t>R</w:t>
      </w:r>
      <w:r w:rsidR="00E17E34" w:rsidRPr="002B672B">
        <w:rPr>
          <w:rFonts w:cstheme="minorHAnsi"/>
        </w:rPr>
        <w:t>eceiving</w:t>
      </w:r>
      <w:r w:rsidR="00D67427" w:rsidRPr="002B672B">
        <w:rPr>
          <w:rFonts w:cstheme="minorHAnsi"/>
        </w:rPr>
        <w:t xml:space="preserve"> (</w:t>
      </w:r>
      <w:r w:rsidR="00E17E34" w:rsidRPr="002B672B">
        <w:rPr>
          <w:rFonts w:cstheme="minorHAnsi"/>
        </w:rPr>
        <w:t>or have completed a course of) dexamethasone or equivalent corti</w:t>
      </w:r>
      <w:r w:rsidRPr="002B672B">
        <w:rPr>
          <w:rFonts w:cstheme="minorHAnsi"/>
        </w:rPr>
        <w:t>costeroid</w:t>
      </w:r>
      <w:r w:rsidR="00A874F7" w:rsidRPr="002B672B">
        <w:rPr>
          <w:rFonts w:cstheme="minorHAnsi"/>
        </w:rPr>
        <w:t xml:space="preserve"> to treat COVID-19</w:t>
      </w:r>
      <w:r w:rsidR="00F16CBB" w:rsidRPr="002B672B">
        <w:rPr>
          <w:rFonts w:cstheme="minorHAnsi"/>
        </w:rPr>
        <w:t xml:space="preserve"> unless contraindicated</w:t>
      </w:r>
    </w:p>
    <w:p w14:paraId="525ABF48" w14:textId="698912B3" w:rsidR="002146A9" w:rsidRPr="002B672B" w:rsidRDefault="002146A9" w:rsidP="002146A9">
      <w:pPr>
        <w:pStyle w:val="ListParagraph"/>
        <w:numPr>
          <w:ilvl w:val="0"/>
          <w:numId w:val="1"/>
        </w:numPr>
        <w:rPr>
          <w:rFonts w:cstheme="minorHAnsi"/>
        </w:rPr>
      </w:pPr>
      <w:r w:rsidRPr="002B672B">
        <w:rPr>
          <w:rFonts w:cstheme="minorHAnsi"/>
        </w:rPr>
        <w:t xml:space="preserve">Receiving supplemental oxygen or respiratory support for the treatment of COVID-19, if this does not apply please see </w:t>
      </w:r>
      <w:hyperlink r:id="rId13" w:anchor="content,033d17b1-66d9-45eb-a2c0-185dec8ef706" w:history="1">
        <w:r w:rsidRPr="002B672B">
          <w:rPr>
            <w:rStyle w:val="Hyperlink"/>
            <w:rFonts w:cstheme="minorHAnsi"/>
          </w:rPr>
          <w:t>COVID-19 Guidance for Group 2 Patients</w:t>
        </w:r>
      </w:hyperlink>
    </w:p>
    <w:p w14:paraId="63CDB403" w14:textId="7AC8CB15" w:rsidR="002146A9" w:rsidRPr="002B672B" w:rsidRDefault="002146A9" w:rsidP="002146A9">
      <w:pPr>
        <w:pStyle w:val="ListParagraph"/>
        <w:numPr>
          <w:ilvl w:val="0"/>
          <w:numId w:val="1"/>
        </w:numPr>
        <w:rPr>
          <w:rFonts w:cstheme="minorHAnsi"/>
        </w:rPr>
      </w:pPr>
      <w:r w:rsidRPr="002B672B">
        <w:rPr>
          <w:rFonts w:cstheme="minorHAnsi"/>
        </w:rPr>
        <w:t>Please see additional criteria for each drug</w:t>
      </w:r>
    </w:p>
    <w:p w14:paraId="6BAFFF5C" w14:textId="77777777" w:rsidR="002146A9" w:rsidRPr="002B672B" w:rsidRDefault="002146A9" w:rsidP="002146A9">
      <w:pPr>
        <w:spacing w:after="0"/>
        <w:rPr>
          <w:rFonts w:cstheme="minorHAnsi"/>
          <w:b/>
        </w:rPr>
      </w:pPr>
    </w:p>
    <w:p w14:paraId="19BF8DFF" w14:textId="5DF0DBCE" w:rsidR="002146A9" w:rsidRPr="002B672B" w:rsidRDefault="002146A9" w:rsidP="002146A9">
      <w:pPr>
        <w:spacing w:after="0"/>
        <w:rPr>
          <w:rFonts w:cstheme="minorHAnsi"/>
        </w:rPr>
      </w:pPr>
      <w:r w:rsidRPr="002B672B">
        <w:rPr>
          <w:rFonts w:cstheme="minorHAnsi"/>
          <w:b/>
        </w:rPr>
        <w:t>IL-6 Inhibitor</w:t>
      </w:r>
      <w:r w:rsidR="004F1C85" w:rsidRPr="002B672B">
        <w:rPr>
          <w:rFonts w:cstheme="minorHAnsi"/>
          <w:b/>
        </w:rPr>
        <w:t>s</w:t>
      </w:r>
      <w:r w:rsidRPr="002B672B">
        <w:rPr>
          <w:rFonts w:cstheme="minorHAnsi"/>
          <w:b/>
        </w:rPr>
        <w:t xml:space="preserve"> (</w:t>
      </w:r>
      <w:r w:rsidR="004F1C85" w:rsidRPr="002B672B">
        <w:rPr>
          <w:rFonts w:cstheme="minorHAnsi"/>
          <w:b/>
        </w:rPr>
        <w:t>t</w:t>
      </w:r>
      <w:r w:rsidRPr="002B672B">
        <w:rPr>
          <w:rFonts w:cstheme="minorHAnsi"/>
          <w:b/>
        </w:rPr>
        <w:t xml:space="preserve">ocilizumab and </w:t>
      </w:r>
      <w:r w:rsidR="004F1C85" w:rsidRPr="002B672B">
        <w:rPr>
          <w:rFonts w:cstheme="minorHAnsi"/>
          <w:b/>
        </w:rPr>
        <w:t>s</w:t>
      </w:r>
      <w:r w:rsidRPr="002B672B">
        <w:rPr>
          <w:rFonts w:cstheme="minorHAnsi"/>
          <w:b/>
        </w:rPr>
        <w:t xml:space="preserve">arilumab) additional </w:t>
      </w:r>
      <w:r w:rsidR="004F1C85" w:rsidRPr="002B672B">
        <w:rPr>
          <w:rFonts w:cstheme="minorHAnsi"/>
          <w:b/>
        </w:rPr>
        <w:t xml:space="preserve">eligibility </w:t>
      </w:r>
      <w:r w:rsidRPr="002B672B">
        <w:rPr>
          <w:rFonts w:cstheme="minorHAnsi"/>
          <w:b/>
        </w:rPr>
        <w:t>criteria</w:t>
      </w:r>
    </w:p>
    <w:p w14:paraId="3E10A62B" w14:textId="77777777" w:rsidR="002146A9" w:rsidRPr="002B672B" w:rsidRDefault="002146A9" w:rsidP="002146A9">
      <w:pPr>
        <w:pStyle w:val="ListParagraph"/>
        <w:numPr>
          <w:ilvl w:val="0"/>
          <w:numId w:val="1"/>
        </w:numPr>
        <w:spacing w:after="0"/>
        <w:rPr>
          <w:rFonts w:cstheme="minorHAnsi"/>
        </w:rPr>
      </w:pPr>
      <w:r w:rsidRPr="002B672B">
        <w:rPr>
          <w:rFonts w:cstheme="minorHAnsi"/>
        </w:rPr>
        <w:t>Patient must be either:</w:t>
      </w:r>
    </w:p>
    <w:p w14:paraId="1FC389A7" w14:textId="3E4F23B3" w:rsidR="002146A9" w:rsidRPr="002B672B" w:rsidRDefault="002146A9" w:rsidP="002146A9">
      <w:pPr>
        <w:pStyle w:val="ListParagraph"/>
        <w:numPr>
          <w:ilvl w:val="1"/>
          <w:numId w:val="1"/>
        </w:numPr>
        <w:rPr>
          <w:rFonts w:cstheme="minorHAnsi"/>
        </w:rPr>
      </w:pPr>
      <w:r w:rsidRPr="002B672B">
        <w:rPr>
          <w:rFonts w:cstheme="minorHAnsi"/>
        </w:rPr>
        <w:t>Not requiring respiratory support:</w:t>
      </w:r>
    </w:p>
    <w:p w14:paraId="2B8490D4" w14:textId="77777777" w:rsidR="002146A9" w:rsidRPr="002B672B" w:rsidRDefault="002146A9" w:rsidP="002146A9">
      <w:pPr>
        <w:pStyle w:val="ListParagraph"/>
        <w:numPr>
          <w:ilvl w:val="2"/>
          <w:numId w:val="1"/>
        </w:numPr>
        <w:rPr>
          <w:rFonts w:cstheme="minorHAnsi"/>
        </w:rPr>
      </w:pPr>
      <w:r w:rsidRPr="002B672B">
        <w:rPr>
          <w:rFonts w:cstheme="minorHAnsi"/>
        </w:rPr>
        <w:t>CRP ≥ 75mg/L (Note: CRP levels may be depressed for up to 3 months after treatment with tocilizumab or sarilumab)</w:t>
      </w:r>
    </w:p>
    <w:p w14:paraId="17B4E198" w14:textId="77777777" w:rsidR="002146A9" w:rsidRPr="002B672B" w:rsidRDefault="002146A9" w:rsidP="002146A9">
      <w:pPr>
        <w:pStyle w:val="ListParagraph"/>
        <w:numPr>
          <w:ilvl w:val="2"/>
          <w:numId w:val="1"/>
        </w:numPr>
        <w:rPr>
          <w:rFonts w:cstheme="minorHAnsi"/>
        </w:rPr>
      </w:pPr>
      <w:r w:rsidRPr="002B672B">
        <w:rPr>
          <w:rFonts w:cstheme="minorHAnsi"/>
          <w:b/>
        </w:rPr>
        <w:lastRenderedPageBreak/>
        <w:t>AND</w:t>
      </w:r>
      <w:r w:rsidRPr="002B672B">
        <w:rPr>
          <w:rFonts w:cstheme="minorHAnsi"/>
        </w:rPr>
        <w:t xml:space="preserve"> sustained O</w:t>
      </w:r>
      <w:r w:rsidRPr="002B672B">
        <w:rPr>
          <w:rFonts w:cstheme="minorHAnsi"/>
          <w:vertAlign w:val="subscript"/>
        </w:rPr>
        <w:t>2</w:t>
      </w:r>
      <w:r w:rsidRPr="002B672B">
        <w:rPr>
          <w:rFonts w:cstheme="minorHAnsi"/>
        </w:rPr>
        <w:t xml:space="preserve"> saturation </w:t>
      </w:r>
      <w:proofErr w:type="gramStart"/>
      <w:r w:rsidRPr="002B672B">
        <w:rPr>
          <w:rFonts w:cstheme="minorHAnsi"/>
        </w:rPr>
        <w:t>of  &lt;</w:t>
      </w:r>
      <w:proofErr w:type="gramEnd"/>
      <w:r w:rsidRPr="002B672B">
        <w:rPr>
          <w:rFonts w:cstheme="minorHAnsi"/>
        </w:rPr>
        <w:t xml:space="preserve"> 92% on room air or an on-going requirement for supplemental oxygen</w:t>
      </w:r>
    </w:p>
    <w:p w14:paraId="65A37167" w14:textId="6A623EDD" w:rsidR="002146A9" w:rsidRPr="002B672B" w:rsidRDefault="002146A9" w:rsidP="005A3356">
      <w:pPr>
        <w:pStyle w:val="ListParagraph"/>
        <w:numPr>
          <w:ilvl w:val="1"/>
          <w:numId w:val="1"/>
        </w:numPr>
        <w:spacing w:before="200"/>
        <w:rPr>
          <w:rFonts w:cstheme="minorHAnsi"/>
        </w:rPr>
      </w:pPr>
      <w:r w:rsidRPr="002B672B">
        <w:rPr>
          <w:rFonts w:cstheme="minorHAnsi"/>
        </w:rPr>
        <w:t xml:space="preserve">Critical illness requiring respiratory support – is within 48 hours of starting respiratory support (high flow nasal oxygen, continuous positive airway pressure (CPAP), non-invasive ventilation or invasive mechanical ventilation), regardless of CRP </w:t>
      </w:r>
    </w:p>
    <w:p w14:paraId="30251166" w14:textId="03626334" w:rsidR="002146A9" w:rsidRPr="002B672B" w:rsidRDefault="002146A9" w:rsidP="002146A9">
      <w:pPr>
        <w:spacing w:before="200" w:after="0"/>
        <w:rPr>
          <w:rFonts w:cstheme="minorHAnsi"/>
          <w:b/>
        </w:rPr>
      </w:pPr>
      <w:r w:rsidRPr="002B672B">
        <w:rPr>
          <w:rFonts w:cstheme="minorHAnsi"/>
          <w:b/>
        </w:rPr>
        <w:t xml:space="preserve">Baricitinib additional </w:t>
      </w:r>
      <w:r w:rsidR="004F1C85" w:rsidRPr="002B672B">
        <w:rPr>
          <w:rFonts w:cstheme="minorHAnsi"/>
          <w:b/>
        </w:rPr>
        <w:t xml:space="preserve">eligibility </w:t>
      </w:r>
      <w:r w:rsidRPr="002B672B">
        <w:rPr>
          <w:rFonts w:cstheme="minorHAnsi"/>
          <w:b/>
        </w:rPr>
        <w:t>criteria</w:t>
      </w:r>
    </w:p>
    <w:p w14:paraId="069165E6" w14:textId="77777777" w:rsidR="002146A9" w:rsidRPr="002B672B" w:rsidRDefault="002146A9" w:rsidP="002146A9">
      <w:pPr>
        <w:pStyle w:val="Default"/>
        <w:numPr>
          <w:ilvl w:val="0"/>
          <w:numId w:val="1"/>
        </w:numPr>
        <w:rPr>
          <w:rFonts w:asciiTheme="minorHAnsi" w:hAnsiTheme="minorHAnsi" w:cstheme="minorHAnsi"/>
          <w:sz w:val="22"/>
          <w:szCs w:val="22"/>
        </w:rPr>
      </w:pPr>
      <w:r w:rsidRPr="002B672B">
        <w:rPr>
          <w:rFonts w:asciiTheme="minorHAnsi" w:hAnsiTheme="minorHAnsi" w:cstheme="minorHAnsi"/>
          <w:sz w:val="22"/>
          <w:szCs w:val="22"/>
        </w:rPr>
        <w:t xml:space="preserve">Viral pneumonia syndrome is present </w:t>
      </w:r>
    </w:p>
    <w:p w14:paraId="3342218D" w14:textId="7C2D4965" w:rsidR="002146A9" w:rsidRPr="002B672B" w:rsidRDefault="004F1C85" w:rsidP="002146A9">
      <w:pPr>
        <w:pStyle w:val="Default"/>
        <w:numPr>
          <w:ilvl w:val="1"/>
          <w:numId w:val="1"/>
        </w:numPr>
        <w:rPr>
          <w:rFonts w:asciiTheme="minorHAnsi" w:hAnsiTheme="minorHAnsi" w:cstheme="minorHAnsi"/>
          <w:sz w:val="22"/>
          <w:szCs w:val="22"/>
        </w:rPr>
      </w:pPr>
      <w:r w:rsidRPr="002B672B">
        <w:rPr>
          <w:rFonts w:asciiTheme="minorHAnsi" w:hAnsiTheme="minorHAnsi" w:cstheme="minorHAnsi"/>
          <w:sz w:val="22"/>
          <w:szCs w:val="22"/>
        </w:rPr>
        <w:t>T</w:t>
      </w:r>
      <w:r w:rsidR="002146A9" w:rsidRPr="002B672B">
        <w:rPr>
          <w:rFonts w:asciiTheme="minorHAnsi" w:hAnsiTheme="minorHAnsi" w:cstheme="minorHAnsi"/>
          <w:sz w:val="22"/>
          <w:szCs w:val="22"/>
        </w:rPr>
        <w:t>ypical symptoms (influenza-like illness with fever and muscle pain, or respiratory illness with cough and shortness of breath)</w:t>
      </w:r>
    </w:p>
    <w:p w14:paraId="1D8AA776" w14:textId="77777777" w:rsidR="002146A9" w:rsidRPr="002B672B" w:rsidRDefault="002146A9" w:rsidP="002146A9">
      <w:pPr>
        <w:pStyle w:val="Default"/>
        <w:numPr>
          <w:ilvl w:val="1"/>
          <w:numId w:val="1"/>
        </w:numPr>
        <w:rPr>
          <w:rFonts w:asciiTheme="minorHAnsi" w:hAnsiTheme="minorHAnsi" w:cstheme="minorHAnsi"/>
          <w:sz w:val="22"/>
          <w:szCs w:val="22"/>
        </w:rPr>
      </w:pPr>
      <w:r w:rsidRPr="002B672B">
        <w:rPr>
          <w:rFonts w:asciiTheme="minorHAnsi" w:hAnsiTheme="minorHAnsi" w:cstheme="minorHAnsi"/>
          <w:sz w:val="22"/>
          <w:szCs w:val="22"/>
        </w:rPr>
        <w:t xml:space="preserve">AND compatible chest X-ray findings (consolidation or ground-glass shadowing) </w:t>
      </w:r>
    </w:p>
    <w:p w14:paraId="433ADCD6" w14:textId="236CF646" w:rsidR="005A3356" w:rsidRPr="002B672B" w:rsidRDefault="002146A9" w:rsidP="002146A9">
      <w:pPr>
        <w:pStyle w:val="Default"/>
        <w:numPr>
          <w:ilvl w:val="1"/>
          <w:numId w:val="1"/>
        </w:numPr>
        <w:rPr>
          <w:rFonts w:asciiTheme="minorHAnsi" w:hAnsiTheme="minorHAnsi" w:cstheme="minorHAnsi"/>
          <w:sz w:val="22"/>
          <w:szCs w:val="22"/>
        </w:rPr>
      </w:pPr>
      <w:r w:rsidRPr="002B672B">
        <w:rPr>
          <w:rFonts w:asciiTheme="minorHAnsi" w:hAnsiTheme="minorHAnsi" w:cstheme="minorHAnsi"/>
          <w:sz w:val="22"/>
          <w:szCs w:val="22"/>
        </w:rPr>
        <w:t>AND alternative causes have been considered unlikely or excluded (heart failure, bacterial pneumonia)</w:t>
      </w:r>
    </w:p>
    <w:p w14:paraId="2630AE14" w14:textId="69B78C32" w:rsidR="002B672B" w:rsidRPr="002B672B" w:rsidRDefault="002B672B" w:rsidP="002146A9">
      <w:pPr>
        <w:pStyle w:val="Default"/>
        <w:numPr>
          <w:ilvl w:val="1"/>
          <w:numId w:val="1"/>
        </w:numPr>
        <w:rPr>
          <w:rFonts w:asciiTheme="minorHAnsi" w:hAnsiTheme="minorHAnsi" w:cstheme="minorHAnsi"/>
          <w:sz w:val="22"/>
          <w:szCs w:val="22"/>
        </w:rPr>
      </w:pPr>
      <w:r w:rsidRPr="002B672B">
        <w:rPr>
          <w:rFonts w:asciiTheme="minorHAnsi" w:hAnsiTheme="minorHAnsi" w:cstheme="minorHAnsi"/>
          <w:sz w:val="22"/>
          <w:szCs w:val="22"/>
        </w:rPr>
        <w:t>If an IL-6 inhibitor is not deemed suitable, or eligibility criteria (for an IL-6 inhibitor) are unmet, baricitinib treatment may still be considered</w:t>
      </w:r>
    </w:p>
    <w:p w14:paraId="418A4E9A" w14:textId="77777777" w:rsidR="002B672B" w:rsidRPr="002B672B" w:rsidRDefault="002B672B" w:rsidP="002B672B">
      <w:pPr>
        <w:pStyle w:val="Default"/>
        <w:ind w:left="1440"/>
        <w:rPr>
          <w:rFonts w:asciiTheme="minorHAnsi" w:hAnsiTheme="minorHAnsi" w:cstheme="minorHAnsi"/>
          <w:sz w:val="22"/>
          <w:szCs w:val="22"/>
        </w:rPr>
      </w:pPr>
    </w:p>
    <w:p w14:paraId="29C957A7" w14:textId="2738A5BC" w:rsidR="002146A9" w:rsidRPr="002B672B" w:rsidRDefault="002146A9" w:rsidP="002146A9">
      <w:pPr>
        <w:pStyle w:val="Default"/>
        <w:rPr>
          <w:rFonts w:asciiTheme="minorHAnsi" w:hAnsiTheme="minorHAnsi" w:cstheme="minorHAnsi"/>
          <w:b/>
          <w:sz w:val="22"/>
          <w:szCs w:val="22"/>
        </w:rPr>
      </w:pPr>
      <w:r w:rsidRPr="002B672B">
        <w:rPr>
          <w:rFonts w:asciiTheme="minorHAnsi" w:hAnsiTheme="minorHAnsi" w:cstheme="minorHAnsi"/>
          <w:b/>
          <w:sz w:val="22"/>
          <w:szCs w:val="22"/>
        </w:rPr>
        <w:t xml:space="preserve">Remdesivir additional </w:t>
      </w:r>
      <w:r w:rsidR="004F1C85" w:rsidRPr="002B672B">
        <w:rPr>
          <w:rFonts w:asciiTheme="minorHAnsi" w:hAnsiTheme="minorHAnsi" w:cstheme="minorHAnsi"/>
          <w:b/>
          <w:sz w:val="22"/>
          <w:szCs w:val="22"/>
        </w:rPr>
        <w:t xml:space="preserve">eligibility </w:t>
      </w:r>
      <w:r w:rsidRPr="002B672B">
        <w:rPr>
          <w:rFonts w:asciiTheme="minorHAnsi" w:hAnsiTheme="minorHAnsi" w:cstheme="minorHAnsi"/>
          <w:b/>
          <w:sz w:val="22"/>
          <w:szCs w:val="22"/>
        </w:rPr>
        <w:t>criteria</w:t>
      </w:r>
    </w:p>
    <w:p w14:paraId="06FE4050" w14:textId="06B31045" w:rsidR="002146A9" w:rsidRPr="002B672B" w:rsidRDefault="002146A9" w:rsidP="002146A9">
      <w:pPr>
        <w:pStyle w:val="ListParagraph"/>
        <w:numPr>
          <w:ilvl w:val="0"/>
          <w:numId w:val="26"/>
        </w:numPr>
        <w:spacing w:before="120" w:after="0" w:line="240" w:lineRule="auto"/>
        <w:ind w:left="714" w:hanging="357"/>
        <w:rPr>
          <w:rFonts w:cstheme="minorHAnsi"/>
          <w:b/>
          <w:bCs/>
          <w:i/>
          <w:iCs/>
        </w:rPr>
      </w:pPr>
      <w:r w:rsidRPr="002B672B">
        <w:rPr>
          <w:rFonts w:cstheme="minorHAnsi"/>
        </w:rPr>
        <w:t>With pneumonia requiring low-flow supplemental oxygen (facemask or nasal cannula at a flow rate usually up to 15L/min).</w:t>
      </w:r>
      <w:r w:rsidRPr="002B672B">
        <w:rPr>
          <w:rFonts w:cstheme="minorHAnsi"/>
          <w:b/>
          <w:bCs/>
          <w:i/>
          <w:iCs/>
        </w:rPr>
        <w:t xml:space="preserve"> This criterion does not apply to those with significant immunosuppression</w:t>
      </w:r>
      <w:r w:rsidRPr="002B672B">
        <w:rPr>
          <w:rStyle w:val="FootnoteReference"/>
          <w:rFonts w:cstheme="minorHAnsi"/>
          <w:b/>
          <w:bCs/>
          <w:i/>
          <w:iCs/>
        </w:rPr>
        <w:footnoteReference w:id="1"/>
      </w:r>
    </w:p>
    <w:p w14:paraId="5B0EFC95" w14:textId="77777777" w:rsidR="002146A9" w:rsidRPr="002B672B" w:rsidRDefault="002146A9" w:rsidP="002146A9">
      <w:pPr>
        <w:pStyle w:val="ListParagraph"/>
        <w:numPr>
          <w:ilvl w:val="0"/>
          <w:numId w:val="26"/>
        </w:numPr>
        <w:tabs>
          <w:tab w:val="left" w:pos="1080"/>
        </w:tabs>
        <w:spacing w:before="120" w:after="0" w:line="0" w:lineRule="atLeast"/>
        <w:ind w:hanging="357"/>
        <w:rPr>
          <w:rFonts w:cstheme="minorHAnsi"/>
          <w:b/>
          <w:bCs/>
        </w:rPr>
      </w:pPr>
      <w:r w:rsidRPr="002B672B">
        <w:rPr>
          <w:rFonts w:cstheme="minorHAnsi"/>
        </w:rPr>
        <w:t xml:space="preserve">No more than 10 days since the onset of symptoms </w:t>
      </w:r>
      <w:r w:rsidRPr="002B672B">
        <w:rPr>
          <w:rFonts w:cstheme="minorHAnsi"/>
          <w:b/>
          <w:bCs/>
          <w:i/>
          <w:iCs/>
        </w:rPr>
        <w:t>This criterion does not apply to those with significant immunosuppression</w:t>
      </w:r>
      <w:r w:rsidRPr="002B672B">
        <w:rPr>
          <w:rFonts w:cstheme="minorHAnsi"/>
          <w:b/>
          <w:bCs/>
          <w:i/>
          <w:iCs/>
          <w:vertAlign w:val="superscript"/>
        </w:rPr>
        <w:t>1</w:t>
      </w:r>
    </w:p>
    <w:p w14:paraId="0A1753D0" w14:textId="56990293" w:rsidR="002146A9" w:rsidRPr="006944AD" w:rsidRDefault="002146A9" w:rsidP="002146A9">
      <w:pPr>
        <w:pStyle w:val="ListParagraph"/>
        <w:numPr>
          <w:ilvl w:val="0"/>
          <w:numId w:val="26"/>
        </w:numPr>
        <w:tabs>
          <w:tab w:val="left" w:pos="1080"/>
        </w:tabs>
        <w:spacing w:before="120" w:after="0" w:line="0" w:lineRule="atLeast"/>
        <w:ind w:hanging="357"/>
        <w:rPr>
          <w:rFonts w:cstheme="minorHAnsi"/>
          <w:b/>
          <w:bCs/>
        </w:rPr>
      </w:pPr>
      <w:r w:rsidRPr="006944AD">
        <w:rPr>
          <w:rFonts w:cstheme="minorHAnsi"/>
        </w:rPr>
        <w:t>Not eligible for treatment with IL-6 inhibitor or Baricitinib</w:t>
      </w:r>
    </w:p>
    <w:p w14:paraId="4704971F" w14:textId="1455C937" w:rsidR="002B672B" w:rsidRPr="006944AD" w:rsidRDefault="002B672B" w:rsidP="002146A9">
      <w:pPr>
        <w:pStyle w:val="ListParagraph"/>
        <w:numPr>
          <w:ilvl w:val="0"/>
          <w:numId w:val="26"/>
        </w:numPr>
        <w:tabs>
          <w:tab w:val="left" w:pos="1080"/>
        </w:tabs>
        <w:spacing w:before="120" w:after="0" w:line="0" w:lineRule="atLeast"/>
        <w:ind w:hanging="357"/>
        <w:rPr>
          <w:rFonts w:cstheme="minorHAnsi"/>
          <w:b/>
          <w:bCs/>
        </w:rPr>
      </w:pPr>
      <w:r w:rsidRPr="006944AD">
        <w:rPr>
          <w:rFonts w:cstheme="minorHAnsi"/>
        </w:rPr>
        <w:t>Patients re-admitted for symptoms of COVID-19 (and meeting the eligibility criteria, with the exception of the requirement on the timing from symptom onset) are permitted a second course of up to 5 days upon readmission.</w:t>
      </w:r>
    </w:p>
    <w:p w14:paraId="154AB523" w14:textId="014720F2" w:rsidR="002146A9" w:rsidRPr="002B672B" w:rsidRDefault="002146A9" w:rsidP="002146A9">
      <w:pPr>
        <w:spacing w:before="200"/>
        <w:rPr>
          <w:rFonts w:cstheme="minorHAnsi"/>
          <w:b/>
          <w:u w:val="single"/>
        </w:rPr>
      </w:pPr>
    </w:p>
    <w:p w14:paraId="6E1D4792" w14:textId="2DCFBB21" w:rsidR="002146A9" w:rsidRPr="002B672B" w:rsidRDefault="002146A9" w:rsidP="002146A9">
      <w:pPr>
        <w:spacing w:before="200"/>
        <w:rPr>
          <w:rFonts w:cstheme="minorHAnsi"/>
          <w:u w:val="single"/>
        </w:rPr>
      </w:pPr>
      <w:r w:rsidRPr="002B672B">
        <w:rPr>
          <w:rFonts w:cstheme="minorHAnsi"/>
          <w:b/>
          <w:u w:val="single"/>
        </w:rPr>
        <w:t>See individual drugs for exclusion criteria:</w:t>
      </w:r>
    </w:p>
    <w:p w14:paraId="731CAAC2" w14:textId="77777777" w:rsidR="002146A9" w:rsidRPr="002B672B" w:rsidRDefault="002146A9" w:rsidP="002146A9">
      <w:pPr>
        <w:spacing w:after="0"/>
        <w:rPr>
          <w:rFonts w:cstheme="minorHAnsi"/>
          <w:b/>
        </w:rPr>
      </w:pPr>
    </w:p>
    <w:p w14:paraId="1209D9C5" w14:textId="43FF112F" w:rsidR="002146A9" w:rsidRPr="002B672B" w:rsidRDefault="002146A9" w:rsidP="002146A9">
      <w:pPr>
        <w:spacing w:after="0"/>
        <w:rPr>
          <w:rFonts w:cstheme="minorHAnsi"/>
        </w:rPr>
      </w:pPr>
      <w:r w:rsidRPr="002B672B">
        <w:rPr>
          <w:rFonts w:cstheme="minorHAnsi"/>
          <w:b/>
        </w:rPr>
        <w:t>IL-6 Inhibitor</w:t>
      </w:r>
      <w:r w:rsidR="004F1C85" w:rsidRPr="002B672B">
        <w:rPr>
          <w:rFonts w:cstheme="minorHAnsi"/>
          <w:b/>
        </w:rPr>
        <w:t>s</w:t>
      </w:r>
      <w:r w:rsidRPr="002B672B">
        <w:rPr>
          <w:rFonts w:cstheme="minorHAnsi"/>
          <w:b/>
        </w:rPr>
        <w:t xml:space="preserve"> (</w:t>
      </w:r>
      <w:r w:rsidR="004F1C85" w:rsidRPr="002B672B">
        <w:rPr>
          <w:rFonts w:cstheme="minorHAnsi"/>
          <w:b/>
        </w:rPr>
        <w:t>t</w:t>
      </w:r>
      <w:r w:rsidRPr="002B672B">
        <w:rPr>
          <w:rFonts w:cstheme="minorHAnsi"/>
          <w:b/>
        </w:rPr>
        <w:t xml:space="preserve">ocilizumab and </w:t>
      </w:r>
      <w:r w:rsidR="004F1C85" w:rsidRPr="002B672B">
        <w:rPr>
          <w:rFonts w:cstheme="minorHAnsi"/>
          <w:b/>
        </w:rPr>
        <w:t>s</w:t>
      </w:r>
      <w:r w:rsidRPr="002B672B">
        <w:rPr>
          <w:rFonts w:cstheme="minorHAnsi"/>
          <w:b/>
        </w:rPr>
        <w:t>arilumab)</w:t>
      </w:r>
    </w:p>
    <w:p w14:paraId="5E966F16" w14:textId="77777777" w:rsidR="00621A16" w:rsidRPr="002B672B" w:rsidRDefault="00621A16" w:rsidP="00621A16">
      <w:pPr>
        <w:pStyle w:val="ListParagraph"/>
        <w:numPr>
          <w:ilvl w:val="0"/>
          <w:numId w:val="5"/>
        </w:numPr>
        <w:rPr>
          <w:rFonts w:cstheme="minorHAnsi"/>
        </w:rPr>
      </w:pPr>
      <w:r w:rsidRPr="002B672B">
        <w:rPr>
          <w:rFonts w:cstheme="minorHAnsi"/>
        </w:rPr>
        <w:t>Previous use of an IL-6 inhibitor for COVID-19 during this admission</w:t>
      </w:r>
    </w:p>
    <w:p w14:paraId="033CDDEB" w14:textId="77777777" w:rsidR="00621A16" w:rsidRPr="002B672B" w:rsidRDefault="00621A16" w:rsidP="00621A16">
      <w:pPr>
        <w:pStyle w:val="ListParagraph"/>
        <w:numPr>
          <w:ilvl w:val="0"/>
          <w:numId w:val="5"/>
        </w:numPr>
        <w:rPr>
          <w:rFonts w:cstheme="minorHAnsi"/>
        </w:rPr>
      </w:pPr>
      <w:r w:rsidRPr="002B672B">
        <w:rPr>
          <w:rFonts w:cstheme="minorHAnsi"/>
        </w:rPr>
        <w:t>Known hypersensitivity to tocilizumab or sarilumab</w:t>
      </w:r>
    </w:p>
    <w:p w14:paraId="28A32ABA" w14:textId="50237771" w:rsidR="00621A16" w:rsidRPr="002B672B" w:rsidRDefault="002146A9" w:rsidP="00621A16">
      <w:pPr>
        <w:pStyle w:val="ListParagraph"/>
        <w:numPr>
          <w:ilvl w:val="0"/>
          <w:numId w:val="5"/>
        </w:numPr>
        <w:rPr>
          <w:rFonts w:cstheme="minorHAnsi"/>
        </w:rPr>
      </w:pPr>
      <w:r w:rsidRPr="002B672B">
        <w:rPr>
          <w:rFonts w:cstheme="minorHAnsi"/>
        </w:rPr>
        <w:t>Baseline platelet count &lt; 5</w:t>
      </w:r>
      <w:r w:rsidR="00621A16" w:rsidRPr="002B672B">
        <w:rPr>
          <w:rFonts w:cstheme="minorHAnsi"/>
        </w:rPr>
        <w:t>0 x 10</w:t>
      </w:r>
      <w:r w:rsidR="00621A16" w:rsidRPr="002B672B">
        <w:rPr>
          <w:rFonts w:cstheme="minorHAnsi"/>
          <w:vertAlign w:val="superscript"/>
        </w:rPr>
        <w:t>9</w:t>
      </w:r>
      <w:r w:rsidR="00621A16" w:rsidRPr="002B672B">
        <w:rPr>
          <w:rFonts w:cstheme="minorHAnsi"/>
        </w:rPr>
        <w:t>/L for tocilizumab and &lt; 150 x 10</w:t>
      </w:r>
      <w:r w:rsidR="00621A16" w:rsidRPr="002B672B">
        <w:rPr>
          <w:rFonts w:cstheme="minorHAnsi"/>
          <w:vertAlign w:val="superscript"/>
        </w:rPr>
        <w:t>9</w:t>
      </w:r>
      <w:r w:rsidR="00621A16" w:rsidRPr="002B672B">
        <w:rPr>
          <w:rFonts w:cstheme="minorHAnsi"/>
        </w:rPr>
        <w:t xml:space="preserve"> /L for sarilumab</w:t>
      </w:r>
    </w:p>
    <w:p w14:paraId="45E8220A" w14:textId="7AA4D85D" w:rsidR="002146A9" w:rsidRPr="002B672B" w:rsidRDefault="002146A9" w:rsidP="002146A9">
      <w:pPr>
        <w:pStyle w:val="ListParagraph"/>
        <w:numPr>
          <w:ilvl w:val="0"/>
          <w:numId w:val="5"/>
        </w:numPr>
        <w:rPr>
          <w:rFonts w:cstheme="minorHAnsi"/>
        </w:rPr>
      </w:pPr>
      <w:r w:rsidRPr="002B672B">
        <w:rPr>
          <w:rFonts w:cstheme="minorHAnsi"/>
        </w:rPr>
        <w:t>ALT or AST &gt;</w:t>
      </w:r>
      <w:r w:rsidR="004F1C85" w:rsidRPr="002B672B">
        <w:rPr>
          <w:rFonts w:cstheme="minorHAnsi"/>
        </w:rPr>
        <w:t xml:space="preserve"> </w:t>
      </w:r>
      <w:r w:rsidRPr="002B672B">
        <w:rPr>
          <w:rFonts w:cstheme="minorHAnsi"/>
        </w:rPr>
        <w:t>10 times upper limit of normal for tocilizumab or &gt;</w:t>
      </w:r>
      <w:r w:rsidR="004F1C85" w:rsidRPr="002B672B">
        <w:rPr>
          <w:rFonts w:cstheme="minorHAnsi"/>
        </w:rPr>
        <w:t xml:space="preserve"> </w:t>
      </w:r>
      <w:r w:rsidRPr="002B672B">
        <w:rPr>
          <w:rFonts w:cstheme="minorHAnsi"/>
        </w:rPr>
        <w:t>5 times upper limit of normal for sarilumab OR active hepatic disease</w:t>
      </w:r>
    </w:p>
    <w:p w14:paraId="7BAA0E00" w14:textId="47ECC47D" w:rsidR="002146A9" w:rsidRPr="002B672B" w:rsidRDefault="002146A9" w:rsidP="002146A9">
      <w:pPr>
        <w:pStyle w:val="ListParagraph"/>
        <w:numPr>
          <w:ilvl w:val="0"/>
          <w:numId w:val="5"/>
        </w:numPr>
        <w:rPr>
          <w:rFonts w:cstheme="minorHAnsi"/>
        </w:rPr>
      </w:pPr>
      <w:r w:rsidRPr="002B672B">
        <w:rPr>
          <w:rFonts w:cstheme="minorHAnsi"/>
        </w:rPr>
        <w:t>Neutrophil count &lt; 1 x 10</w:t>
      </w:r>
      <w:r w:rsidRPr="002B672B">
        <w:rPr>
          <w:rFonts w:cstheme="minorHAnsi"/>
          <w:vertAlign w:val="superscript"/>
        </w:rPr>
        <w:t>9</w:t>
      </w:r>
      <w:r w:rsidRPr="002B672B">
        <w:rPr>
          <w:rFonts w:cstheme="minorHAnsi"/>
        </w:rPr>
        <w:t>/L</w:t>
      </w:r>
      <w:r w:rsidR="00F03158" w:rsidRPr="002B672B">
        <w:rPr>
          <w:rFonts w:cstheme="minorHAnsi"/>
        </w:rPr>
        <w:t xml:space="preserve"> for tocilizumab and &lt; 2 x 10</w:t>
      </w:r>
      <w:r w:rsidR="00F03158" w:rsidRPr="002B672B">
        <w:rPr>
          <w:rFonts w:cstheme="minorHAnsi"/>
          <w:vertAlign w:val="superscript"/>
        </w:rPr>
        <w:t>9</w:t>
      </w:r>
      <w:r w:rsidR="00F03158" w:rsidRPr="002B672B">
        <w:rPr>
          <w:rFonts w:cstheme="minorHAnsi"/>
        </w:rPr>
        <w:t xml:space="preserve"> /L for sarilumab</w:t>
      </w:r>
    </w:p>
    <w:p w14:paraId="193DD00A" w14:textId="77777777" w:rsidR="00F03158" w:rsidRPr="002B672B" w:rsidRDefault="00F03158" w:rsidP="00F03158">
      <w:pPr>
        <w:ind w:left="360"/>
        <w:rPr>
          <w:rFonts w:cstheme="minorHAnsi"/>
          <w:b/>
        </w:rPr>
      </w:pPr>
      <w:r w:rsidRPr="006944AD">
        <w:rPr>
          <w:rFonts w:cstheme="minorHAnsi"/>
          <w:b/>
        </w:rPr>
        <w:t>Use with caution</w:t>
      </w:r>
      <w:r w:rsidRPr="002B672B">
        <w:rPr>
          <w:rFonts w:cstheme="minorHAnsi"/>
          <w:b/>
        </w:rPr>
        <w:t xml:space="preserve"> </w:t>
      </w:r>
    </w:p>
    <w:p w14:paraId="177FB377" w14:textId="639EB7A0" w:rsidR="00621A16" w:rsidRPr="002B672B" w:rsidRDefault="00621A16" w:rsidP="00621A16">
      <w:pPr>
        <w:pStyle w:val="ListParagraph"/>
        <w:numPr>
          <w:ilvl w:val="0"/>
          <w:numId w:val="5"/>
        </w:numPr>
        <w:rPr>
          <w:rFonts w:cstheme="minorHAnsi"/>
        </w:rPr>
      </w:pPr>
      <w:r w:rsidRPr="002B672B">
        <w:rPr>
          <w:rFonts w:cstheme="minorHAnsi"/>
        </w:rPr>
        <w:lastRenderedPageBreak/>
        <w:t>Clinically significant active bacterial infection (N.B. not including possible bacterial superinfection of COVID-19 being treated with antibiotics)</w:t>
      </w:r>
      <w:r w:rsidR="00F03158" w:rsidRPr="002B672B">
        <w:rPr>
          <w:rFonts w:cstheme="minorHAnsi"/>
        </w:rPr>
        <w:t xml:space="preserve"> that might be worsened by IL-6 inhibitor</w:t>
      </w:r>
      <w:r w:rsidR="002B672B" w:rsidRPr="002B672B">
        <w:rPr>
          <w:rFonts w:cstheme="minorHAnsi"/>
        </w:rPr>
        <w:t xml:space="preserve"> </w:t>
      </w:r>
      <w:r w:rsidR="00F03158" w:rsidRPr="002B672B">
        <w:rPr>
          <w:rFonts w:cstheme="minorHAnsi"/>
        </w:rPr>
        <w:t>therapy</w:t>
      </w:r>
    </w:p>
    <w:p w14:paraId="0D1E9BE4" w14:textId="77777777" w:rsidR="00621A16" w:rsidRPr="002B672B" w:rsidRDefault="00621A16" w:rsidP="00621A16">
      <w:pPr>
        <w:pStyle w:val="ListParagraph"/>
        <w:numPr>
          <w:ilvl w:val="0"/>
          <w:numId w:val="5"/>
        </w:numPr>
        <w:rPr>
          <w:rFonts w:cstheme="minorHAnsi"/>
        </w:rPr>
      </w:pPr>
      <w:r w:rsidRPr="002B672B">
        <w:rPr>
          <w:rFonts w:cstheme="minorHAnsi"/>
        </w:rPr>
        <w:t>Active fungal infection, tuberculosis or herpes zoster</w:t>
      </w:r>
    </w:p>
    <w:p w14:paraId="665ADB6E" w14:textId="451D9ADA" w:rsidR="00B05F66" w:rsidRPr="002B672B" w:rsidRDefault="00B05F66" w:rsidP="002A04FD">
      <w:pPr>
        <w:pStyle w:val="ListParagraph"/>
        <w:numPr>
          <w:ilvl w:val="0"/>
          <w:numId w:val="5"/>
        </w:numPr>
        <w:rPr>
          <w:rFonts w:cstheme="minorHAnsi"/>
        </w:rPr>
      </w:pPr>
      <w:r w:rsidRPr="002B672B">
        <w:rPr>
          <w:rFonts w:cstheme="minorHAnsi"/>
        </w:rPr>
        <w:t xml:space="preserve">Active </w:t>
      </w:r>
      <w:r w:rsidR="003A5827" w:rsidRPr="002B672B">
        <w:rPr>
          <w:rFonts w:cstheme="minorHAnsi"/>
        </w:rPr>
        <w:t>diverticulitis</w:t>
      </w:r>
      <w:r w:rsidRPr="002B672B">
        <w:rPr>
          <w:rFonts w:cstheme="minorHAnsi"/>
        </w:rPr>
        <w:t>, bowel perforation or at increased risk of bowel perforation</w:t>
      </w:r>
    </w:p>
    <w:p w14:paraId="04F08F5D" w14:textId="5E47128A" w:rsidR="00CD14C3" w:rsidRPr="002B672B" w:rsidRDefault="00F03158" w:rsidP="006E64BA">
      <w:pPr>
        <w:pStyle w:val="ListParagraph"/>
        <w:numPr>
          <w:ilvl w:val="0"/>
          <w:numId w:val="2"/>
        </w:numPr>
        <w:rPr>
          <w:rFonts w:cstheme="minorHAnsi"/>
        </w:rPr>
      </w:pPr>
      <w:r w:rsidRPr="002B672B">
        <w:rPr>
          <w:rFonts w:cstheme="minorHAnsi"/>
        </w:rPr>
        <w:t>I</w:t>
      </w:r>
      <w:r w:rsidR="009325D5" w:rsidRPr="002B672B">
        <w:rPr>
          <w:rFonts w:cstheme="minorHAnsi"/>
        </w:rPr>
        <w:t>f the patient has a pre</w:t>
      </w:r>
      <w:r w:rsidR="00E17E34" w:rsidRPr="002B672B">
        <w:rPr>
          <w:rFonts w:cstheme="minorHAnsi"/>
        </w:rPr>
        <w:t xml:space="preserve">-existing condition </w:t>
      </w:r>
      <w:r w:rsidR="00350FA8" w:rsidRPr="002B672B">
        <w:rPr>
          <w:rFonts w:cstheme="minorHAnsi"/>
        </w:rPr>
        <w:t>or</w:t>
      </w:r>
      <w:r w:rsidR="00F06CD1" w:rsidRPr="002B672B">
        <w:rPr>
          <w:rFonts w:cstheme="minorHAnsi"/>
        </w:rPr>
        <w:t xml:space="preserve"> treatment</w:t>
      </w:r>
      <w:r w:rsidR="00350FA8" w:rsidRPr="002B672B">
        <w:rPr>
          <w:rFonts w:cstheme="minorHAnsi"/>
        </w:rPr>
        <w:t xml:space="preserve"> resulting in on-going immunosuppression</w:t>
      </w:r>
      <w:r w:rsidR="002146A9" w:rsidRPr="002B672B">
        <w:rPr>
          <w:rFonts w:cstheme="minorHAnsi"/>
        </w:rPr>
        <w:t>, please see appendix</w:t>
      </w:r>
      <w:r w:rsidR="00F16CBB" w:rsidRPr="002B672B">
        <w:rPr>
          <w:rFonts w:cstheme="minorHAnsi"/>
        </w:rPr>
        <w:t xml:space="preserve"> 1 for list of conditions and treatments</w:t>
      </w:r>
      <w:r w:rsidR="009325D5" w:rsidRPr="002B672B">
        <w:rPr>
          <w:rFonts w:cstheme="minorHAnsi"/>
        </w:rPr>
        <w:t xml:space="preserve">. </w:t>
      </w:r>
    </w:p>
    <w:p w14:paraId="456D8B70" w14:textId="77777777" w:rsidR="002146A9" w:rsidRPr="002B672B" w:rsidRDefault="002146A9" w:rsidP="002146A9">
      <w:pPr>
        <w:spacing w:after="0"/>
        <w:rPr>
          <w:rFonts w:cstheme="minorHAnsi"/>
          <w:b/>
        </w:rPr>
      </w:pPr>
    </w:p>
    <w:p w14:paraId="506C8D2B" w14:textId="5785DC9E" w:rsidR="002146A9" w:rsidRPr="002B672B" w:rsidRDefault="002146A9" w:rsidP="002146A9">
      <w:pPr>
        <w:spacing w:after="0"/>
        <w:rPr>
          <w:rFonts w:cstheme="minorHAnsi"/>
          <w:b/>
        </w:rPr>
      </w:pPr>
      <w:r w:rsidRPr="002B672B">
        <w:rPr>
          <w:rFonts w:cstheme="minorHAnsi"/>
          <w:b/>
        </w:rPr>
        <w:t>Baricitinib</w:t>
      </w:r>
    </w:p>
    <w:p w14:paraId="5103F2E3" w14:textId="062EF681" w:rsidR="002146A9" w:rsidRPr="002B672B" w:rsidRDefault="002146A9" w:rsidP="002146A9">
      <w:pPr>
        <w:pStyle w:val="ListParagraph"/>
        <w:numPr>
          <w:ilvl w:val="0"/>
          <w:numId w:val="2"/>
        </w:numPr>
        <w:rPr>
          <w:rFonts w:cstheme="minorHAnsi"/>
        </w:rPr>
      </w:pPr>
      <w:r w:rsidRPr="002B672B">
        <w:rPr>
          <w:rFonts w:cstheme="minorHAnsi"/>
        </w:rPr>
        <w:t>Known hypersensitivity to baricitinib</w:t>
      </w:r>
    </w:p>
    <w:p w14:paraId="4AC58E14" w14:textId="3C9BAC7C" w:rsidR="002146A9" w:rsidRPr="002B672B" w:rsidRDefault="002146A9" w:rsidP="002146A9">
      <w:pPr>
        <w:pStyle w:val="ListParagraph"/>
        <w:numPr>
          <w:ilvl w:val="0"/>
          <w:numId w:val="2"/>
        </w:numPr>
        <w:rPr>
          <w:rFonts w:cstheme="minorHAnsi"/>
        </w:rPr>
      </w:pPr>
      <w:r w:rsidRPr="002B672B">
        <w:rPr>
          <w:rFonts w:cstheme="minorHAnsi"/>
        </w:rPr>
        <w:t>eGFR/CrCl &lt; 15 mL/min (see dose and administration section as reduced dose needed if eGFR/CrCl &lt; 60 mL/min)</w:t>
      </w:r>
    </w:p>
    <w:p w14:paraId="5EC87357" w14:textId="77777777" w:rsidR="002146A9" w:rsidRPr="002B672B" w:rsidRDefault="002146A9" w:rsidP="002146A9">
      <w:pPr>
        <w:pStyle w:val="ListParagraph"/>
        <w:numPr>
          <w:ilvl w:val="0"/>
          <w:numId w:val="2"/>
        </w:numPr>
        <w:rPr>
          <w:rFonts w:cstheme="minorHAnsi"/>
        </w:rPr>
      </w:pPr>
      <w:r w:rsidRPr="002B672B">
        <w:rPr>
          <w:rFonts w:cstheme="minorHAnsi"/>
        </w:rPr>
        <w:t xml:space="preserve">Receiving dialysis or </w:t>
      </w:r>
      <w:proofErr w:type="spellStart"/>
      <w:r w:rsidRPr="002B672B">
        <w:rPr>
          <w:rFonts w:cstheme="minorHAnsi"/>
        </w:rPr>
        <w:t>haemofiltration</w:t>
      </w:r>
      <w:proofErr w:type="spellEnd"/>
    </w:p>
    <w:p w14:paraId="3CD909AE" w14:textId="183A16B5" w:rsidR="002146A9" w:rsidRPr="002B672B" w:rsidRDefault="002146A9" w:rsidP="002146A9">
      <w:pPr>
        <w:pStyle w:val="ListParagraph"/>
        <w:numPr>
          <w:ilvl w:val="0"/>
          <w:numId w:val="2"/>
        </w:numPr>
        <w:rPr>
          <w:rFonts w:cstheme="minorHAnsi"/>
        </w:rPr>
      </w:pPr>
      <w:r w:rsidRPr="002B672B">
        <w:rPr>
          <w:rFonts w:cstheme="minorHAnsi"/>
        </w:rPr>
        <w:t>Neutrophil count &lt; 0.5 x 10</w:t>
      </w:r>
      <w:r w:rsidRPr="002B672B">
        <w:rPr>
          <w:rFonts w:cstheme="minorHAnsi"/>
          <w:vertAlign w:val="superscript"/>
        </w:rPr>
        <w:t>9</w:t>
      </w:r>
      <w:r w:rsidRPr="002B672B">
        <w:rPr>
          <w:rFonts w:cstheme="minorHAnsi"/>
        </w:rPr>
        <w:t>/L</w:t>
      </w:r>
    </w:p>
    <w:p w14:paraId="0F4C9E10" w14:textId="77777777" w:rsidR="002146A9" w:rsidRPr="002B672B" w:rsidRDefault="002146A9" w:rsidP="002146A9">
      <w:pPr>
        <w:pStyle w:val="ListParagraph"/>
        <w:numPr>
          <w:ilvl w:val="0"/>
          <w:numId w:val="2"/>
        </w:numPr>
        <w:rPr>
          <w:rFonts w:cstheme="minorHAnsi"/>
        </w:rPr>
      </w:pPr>
      <w:r w:rsidRPr="002B672B">
        <w:rPr>
          <w:rFonts w:cstheme="minorHAnsi"/>
        </w:rPr>
        <w:t>Active tuberculosis</w:t>
      </w:r>
    </w:p>
    <w:p w14:paraId="6992A49D" w14:textId="3F81A1A9" w:rsidR="002146A9" w:rsidRPr="002B672B" w:rsidRDefault="002146A9" w:rsidP="002146A9">
      <w:pPr>
        <w:pStyle w:val="ListParagraph"/>
        <w:numPr>
          <w:ilvl w:val="0"/>
          <w:numId w:val="2"/>
        </w:numPr>
        <w:spacing w:after="0"/>
        <w:rPr>
          <w:rFonts w:cstheme="minorHAnsi"/>
        </w:rPr>
      </w:pPr>
      <w:r w:rsidRPr="002B672B">
        <w:rPr>
          <w:rFonts w:cstheme="minorHAnsi"/>
        </w:rPr>
        <w:t>Treatment with baricitinib can lower the ability of the immune system to fight infections. Consider risk/benefit in patients with on-going immunosuppression</w:t>
      </w:r>
    </w:p>
    <w:p w14:paraId="19B4AD1C" w14:textId="79D5E49B" w:rsidR="002146A9" w:rsidRPr="002B672B" w:rsidRDefault="002146A9" w:rsidP="002146A9">
      <w:pPr>
        <w:pStyle w:val="ListParagraph"/>
        <w:numPr>
          <w:ilvl w:val="0"/>
          <w:numId w:val="2"/>
        </w:numPr>
        <w:spacing w:after="0"/>
        <w:rPr>
          <w:rFonts w:cstheme="minorHAnsi"/>
        </w:rPr>
      </w:pPr>
      <w:r w:rsidRPr="002B672B">
        <w:rPr>
          <w:rFonts w:cstheme="minorHAnsi"/>
        </w:rPr>
        <w:t xml:space="preserve">Unable to take oral medication </w:t>
      </w:r>
    </w:p>
    <w:p w14:paraId="4045119A" w14:textId="6A5D8C48" w:rsidR="002146A9" w:rsidRPr="002B672B" w:rsidRDefault="002146A9" w:rsidP="002B672B">
      <w:pPr>
        <w:pStyle w:val="ListParagraph"/>
        <w:numPr>
          <w:ilvl w:val="0"/>
          <w:numId w:val="2"/>
        </w:numPr>
        <w:spacing w:after="0"/>
        <w:rPr>
          <w:rFonts w:cstheme="minorHAnsi"/>
        </w:rPr>
      </w:pPr>
      <w:r w:rsidRPr="002B672B">
        <w:rPr>
          <w:rFonts w:cstheme="minorHAnsi"/>
        </w:rPr>
        <w:t>Pregnancy or breastfeeding</w:t>
      </w:r>
    </w:p>
    <w:p w14:paraId="7132CB69" w14:textId="77777777" w:rsidR="002146A9" w:rsidRPr="002B672B" w:rsidRDefault="002146A9" w:rsidP="002146A9">
      <w:pPr>
        <w:pStyle w:val="ListParagraph"/>
        <w:spacing w:after="0"/>
        <w:rPr>
          <w:rFonts w:cstheme="minorHAnsi"/>
        </w:rPr>
      </w:pPr>
    </w:p>
    <w:p w14:paraId="21B68C8E" w14:textId="1E7BA9F8" w:rsidR="002146A9" w:rsidRPr="002B672B" w:rsidRDefault="002146A9" w:rsidP="002146A9">
      <w:pPr>
        <w:spacing w:after="0"/>
        <w:rPr>
          <w:rFonts w:cstheme="minorHAnsi"/>
          <w:b/>
        </w:rPr>
      </w:pPr>
      <w:r w:rsidRPr="002B672B">
        <w:rPr>
          <w:rFonts w:cstheme="minorHAnsi"/>
          <w:b/>
        </w:rPr>
        <w:t>Remdesivir</w:t>
      </w:r>
    </w:p>
    <w:p w14:paraId="30927E75" w14:textId="52B35E9F" w:rsidR="002146A9" w:rsidRPr="002B672B" w:rsidRDefault="002146A9" w:rsidP="002146A9">
      <w:pPr>
        <w:pStyle w:val="ListParagraph"/>
        <w:numPr>
          <w:ilvl w:val="0"/>
          <w:numId w:val="28"/>
        </w:numPr>
        <w:spacing w:after="0" w:line="240" w:lineRule="auto"/>
        <w:contextualSpacing w:val="0"/>
        <w:rPr>
          <w:rFonts w:cstheme="minorHAnsi"/>
        </w:rPr>
      </w:pPr>
      <w:r w:rsidRPr="002B672B">
        <w:rPr>
          <w:rFonts w:cstheme="minorHAnsi"/>
        </w:rPr>
        <w:t>Known hypersensitivity reaction to the active substances or to any of the excipients</w:t>
      </w:r>
    </w:p>
    <w:p w14:paraId="249C19BC" w14:textId="4641D699" w:rsidR="002146A9" w:rsidRPr="002B672B" w:rsidRDefault="002146A9" w:rsidP="002146A9">
      <w:pPr>
        <w:pStyle w:val="ListParagraph"/>
        <w:numPr>
          <w:ilvl w:val="0"/>
          <w:numId w:val="28"/>
        </w:numPr>
        <w:spacing w:after="0" w:line="240" w:lineRule="auto"/>
        <w:contextualSpacing w:val="0"/>
        <w:rPr>
          <w:rFonts w:cstheme="minorHAnsi"/>
        </w:rPr>
      </w:pPr>
      <w:r w:rsidRPr="002B672B">
        <w:rPr>
          <w:rFonts w:cstheme="minorHAnsi"/>
        </w:rPr>
        <w:t>eGFR/CrCl &lt; 30mL/min excluding patients on haemodialysis</w:t>
      </w:r>
    </w:p>
    <w:p w14:paraId="139402A3" w14:textId="77777777" w:rsidR="002146A9" w:rsidRPr="002B672B" w:rsidRDefault="002146A9" w:rsidP="002146A9">
      <w:pPr>
        <w:pStyle w:val="ListParagraph"/>
        <w:numPr>
          <w:ilvl w:val="0"/>
          <w:numId w:val="28"/>
        </w:numPr>
        <w:spacing w:after="0" w:line="240" w:lineRule="auto"/>
        <w:contextualSpacing w:val="0"/>
        <w:rPr>
          <w:rFonts w:cstheme="minorHAnsi"/>
        </w:rPr>
      </w:pPr>
      <w:r w:rsidRPr="002B672B">
        <w:rPr>
          <w:rFonts w:cstheme="minorHAnsi"/>
        </w:rPr>
        <w:t>ALT &gt; 5 times upper limit of normal</w:t>
      </w:r>
    </w:p>
    <w:p w14:paraId="1F52701C" w14:textId="66D28771" w:rsidR="002146A9" w:rsidRPr="002B672B" w:rsidRDefault="002146A9" w:rsidP="002146A9">
      <w:pPr>
        <w:pStyle w:val="ListParagraph"/>
        <w:numPr>
          <w:ilvl w:val="0"/>
          <w:numId w:val="28"/>
        </w:numPr>
        <w:spacing w:after="0" w:line="240" w:lineRule="auto"/>
        <w:contextualSpacing w:val="0"/>
        <w:rPr>
          <w:rFonts w:cstheme="minorHAnsi"/>
        </w:rPr>
      </w:pPr>
      <w:r w:rsidRPr="002B672B">
        <w:rPr>
          <w:rFonts w:cstheme="minorHAnsi"/>
        </w:rPr>
        <w:t xml:space="preserve">Remdesivir should not be initiated in patients who are unlikely to survive (determined by clinical judgement). The 4C mortality score can help support clinical judgement. The calculator can be accessed </w:t>
      </w:r>
      <w:hyperlink r:id="rId14" w:history="1">
        <w:r w:rsidRPr="002B672B">
          <w:rPr>
            <w:rStyle w:val="Hyperlink"/>
            <w:rFonts w:cstheme="minorHAnsi"/>
          </w:rPr>
          <w:t>here</w:t>
        </w:r>
      </w:hyperlink>
      <w:r w:rsidRPr="002B672B">
        <w:rPr>
          <w:rFonts w:cstheme="minorHAnsi"/>
        </w:rPr>
        <w:t xml:space="preserve"> [advise using in Firefox or Google Chrome browser] (see Appendix 2 treatment pathway)</w:t>
      </w:r>
    </w:p>
    <w:p w14:paraId="2B4A2952" w14:textId="35A2EE6A" w:rsidR="00C5691B" w:rsidRPr="002B672B" w:rsidRDefault="002146A9" w:rsidP="002146A9">
      <w:pPr>
        <w:pStyle w:val="ListParagraph"/>
        <w:numPr>
          <w:ilvl w:val="0"/>
          <w:numId w:val="28"/>
        </w:numPr>
        <w:rPr>
          <w:rFonts w:cstheme="minorHAnsi"/>
        </w:rPr>
      </w:pPr>
      <w:r w:rsidRPr="002B672B">
        <w:rPr>
          <w:rFonts w:cstheme="minorHAnsi"/>
        </w:rPr>
        <w:t xml:space="preserve">Remdesivir should not be initiated in patients who are </w:t>
      </w:r>
      <w:r w:rsidRPr="002B672B">
        <w:rPr>
          <w:rStyle w:val="markedcontent"/>
          <w:rFonts w:cstheme="minorHAnsi"/>
        </w:rPr>
        <w:t>highly likely to recover without</w:t>
      </w:r>
      <w:r w:rsidRPr="002B672B">
        <w:rPr>
          <w:rFonts w:cstheme="minorHAnsi"/>
        </w:rPr>
        <w:t xml:space="preserve"> </w:t>
      </w:r>
      <w:r w:rsidRPr="002B672B">
        <w:rPr>
          <w:rStyle w:val="markedcontent"/>
          <w:rFonts w:cstheme="minorHAnsi"/>
        </w:rPr>
        <w:t>treatment with remdesivir (low 4C Mortality Score (0 to 3))</w:t>
      </w:r>
    </w:p>
    <w:p w14:paraId="0C332E1A" w14:textId="77777777" w:rsidR="002146A9" w:rsidRPr="002B672B" w:rsidRDefault="002146A9" w:rsidP="002146A9">
      <w:pPr>
        <w:spacing w:after="0"/>
        <w:rPr>
          <w:rFonts w:cstheme="minorHAnsi"/>
          <w:b/>
        </w:rPr>
      </w:pPr>
    </w:p>
    <w:p w14:paraId="656458BB" w14:textId="3196AC2F" w:rsidR="00CD14C3" w:rsidRPr="002B672B" w:rsidRDefault="00C5691B" w:rsidP="002146A9">
      <w:pPr>
        <w:spacing w:after="0"/>
        <w:rPr>
          <w:rFonts w:cstheme="minorHAnsi"/>
        </w:rPr>
      </w:pPr>
      <w:r w:rsidRPr="002B672B">
        <w:rPr>
          <w:rFonts w:cstheme="minorHAnsi"/>
          <w:b/>
        </w:rPr>
        <w:t xml:space="preserve">Infection </w:t>
      </w:r>
      <w:r w:rsidR="00CD14C3" w:rsidRPr="002B672B">
        <w:rPr>
          <w:rFonts w:cstheme="minorHAnsi"/>
          <w:b/>
        </w:rPr>
        <w:t>Screening</w:t>
      </w:r>
      <w:r w:rsidR="002146A9" w:rsidRPr="002B672B">
        <w:rPr>
          <w:rFonts w:cstheme="minorHAnsi"/>
          <w:b/>
        </w:rPr>
        <w:t xml:space="preserve"> for IL-6 Inhibitor (</w:t>
      </w:r>
      <w:r w:rsidR="00257052" w:rsidRPr="002B672B">
        <w:rPr>
          <w:rFonts w:cstheme="minorHAnsi"/>
          <w:b/>
        </w:rPr>
        <w:t>t</w:t>
      </w:r>
      <w:r w:rsidR="002146A9" w:rsidRPr="002B672B">
        <w:rPr>
          <w:rFonts w:cstheme="minorHAnsi"/>
          <w:b/>
        </w:rPr>
        <w:t xml:space="preserve">ocilizumab and </w:t>
      </w:r>
      <w:r w:rsidR="00257052" w:rsidRPr="002B672B">
        <w:rPr>
          <w:rFonts w:cstheme="minorHAnsi"/>
          <w:b/>
        </w:rPr>
        <w:t>s</w:t>
      </w:r>
      <w:r w:rsidR="002146A9" w:rsidRPr="002B672B">
        <w:rPr>
          <w:rFonts w:cstheme="minorHAnsi"/>
          <w:b/>
        </w:rPr>
        <w:t>arilumab)</w:t>
      </w:r>
    </w:p>
    <w:p w14:paraId="086583A4" w14:textId="0041B44B" w:rsidR="005A3356" w:rsidRPr="002B672B" w:rsidRDefault="00B05F66" w:rsidP="005A3356">
      <w:pPr>
        <w:pStyle w:val="ListParagraph"/>
        <w:numPr>
          <w:ilvl w:val="0"/>
          <w:numId w:val="7"/>
        </w:numPr>
        <w:rPr>
          <w:rFonts w:cstheme="minorHAnsi"/>
        </w:rPr>
      </w:pPr>
      <w:r w:rsidRPr="002B672B">
        <w:rPr>
          <w:rFonts w:cstheme="minorHAnsi"/>
        </w:rPr>
        <w:t>S</w:t>
      </w:r>
      <w:r w:rsidR="003755EC" w:rsidRPr="002B672B">
        <w:rPr>
          <w:rFonts w:cstheme="minorHAnsi"/>
        </w:rPr>
        <w:t xml:space="preserve">erology </w:t>
      </w:r>
      <w:r w:rsidR="00F35B1B" w:rsidRPr="002B672B">
        <w:rPr>
          <w:rFonts w:cstheme="minorHAnsi"/>
        </w:rPr>
        <w:t>should be</w:t>
      </w:r>
      <w:r w:rsidR="003755EC" w:rsidRPr="002B672B">
        <w:rPr>
          <w:rFonts w:cstheme="minorHAnsi"/>
        </w:rPr>
        <w:t xml:space="preserve"> sent for Hep</w:t>
      </w:r>
      <w:r w:rsidR="00717EFB" w:rsidRPr="002B672B">
        <w:rPr>
          <w:rFonts w:cstheme="minorHAnsi"/>
        </w:rPr>
        <w:t>atitis</w:t>
      </w:r>
      <w:r w:rsidR="003755EC" w:rsidRPr="002B672B">
        <w:rPr>
          <w:rFonts w:cstheme="minorHAnsi"/>
        </w:rPr>
        <w:t xml:space="preserve"> B/C, HIV, VZV, EBV, and CMV for all patients started on </w:t>
      </w:r>
      <w:r w:rsidR="00A874F7" w:rsidRPr="002B672B">
        <w:rPr>
          <w:rFonts w:cstheme="minorHAnsi"/>
        </w:rPr>
        <w:t>t</w:t>
      </w:r>
      <w:r w:rsidR="003755EC" w:rsidRPr="002B672B">
        <w:rPr>
          <w:rFonts w:cstheme="minorHAnsi"/>
        </w:rPr>
        <w:t>ocilizumab</w:t>
      </w:r>
      <w:r w:rsidR="00F35B1B" w:rsidRPr="002B672B">
        <w:rPr>
          <w:rFonts w:cstheme="minorHAnsi"/>
        </w:rPr>
        <w:t>/sarilumab unless positive status already known</w:t>
      </w:r>
      <w:r w:rsidR="003755EC" w:rsidRPr="002B672B">
        <w:rPr>
          <w:rFonts w:cstheme="minorHAnsi"/>
        </w:rPr>
        <w:t xml:space="preserve"> but this </w:t>
      </w:r>
      <w:r w:rsidR="00A874F7" w:rsidRPr="002B672B">
        <w:rPr>
          <w:rFonts w:cstheme="minorHAnsi"/>
        </w:rPr>
        <w:t xml:space="preserve">should </w:t>
      </w:r>
      <w:r w:rsidR="003755EC" w:rsidRPr="002B672B">
        <w:rPr>
          <w:rFonts w:cstheme="minorHAnsi"/>
        </w:rPr>
        <w:t xml:space="preserve">not delay initiating treatment. Meta-analyses have demonstrated little or no risk of reactivation of </w:t>
      </w:r>
      <w:r w:rsidRPr="002B672B">
        <w:rPr>
          <w:rFonts w:cstheme="minorHAnsi"/>
        </w:rPr>
        <w:t xml:space="preserve">latent </w:t>
      </w:r>
      <w:r w:rsidR="003755EC" w:rsidRPr="002B672B">
        <w:rPr>
          <w:rFonts w:cstheme="minorHAnsi"/>
        </w:rPr>
        <w:t>TB in patients undergoing tocilizumab</w:t>
      </w:r>
      <w:r w:rsidR="00F16CBB" w:rsidRPr="002B672B">
        <w:rPr>
          <w:rFonts w:cstheme="minorHAnsi"/>
        </w:rPr>
        <w:t>/sarilumab</w:t>
      </w:r>
      <w:r w:rsidR="003755EC" w:rsidRPr="002B672B">
        <w:rPr>
          <w:rFonts w:cstheme="minorHAnsi"/>
        </w:rPr>
        <w:t xml:space="preserve"> therapy</w:t>
      </w:r>
    </w:p>
    <w:p w14:paraId="2C37AED9" w14:textId="77777777" w:rsidR="002B672B" w:rsidRDefault="002B672B" w:rsidP="00350FA8">
      <w:pPr>
        <w:spacing w:line="0" w:lineRule="atLeast"/>
        <w:rPr>
          <w:rFonts w:cstheme="minorHAnsi"/>
          <w:b/>
          <w:u w:val="single"/>
        </w:rPr>
      </w:pPr>
    </w:p>
    <w:p w14:paraId="6C29E1CD" w14:textId="0C802C7F" w:rsidR="00350FA8" w:rsidRPr="002B672B" w:rsidRDefault="00350FA8" w:rsidP="00350FA8">
      <w:pPr>
        <w:spacing w:line="0" w:lineRule="atLeast"/>
        <w:rPr>
          <w:rFonts w:cstheme="minorHAnsi"/>
          <w:b/>
          <w:u w:val="single"/>
        </w:rPr>
      </w:pPr>
      <w:r w:rsidRPr="002B672B">
        <w:rPr>
          <w:rFonts w:cstheme="minorHAnsi"/>
          <w:b/>
          <w:u w:val="single"/>
        </w:rPr>
        <w:t>Approval &amp; Governance</w:t>
      </w:r>
    </w:p>
    <w:p w14:paraId="1DC86E09" w14:textId="54E9F478" w:rsidR="00350FA8" w:rsidRPr="002B672B" w:rsidRDefault="00350FA8" w:rsidP="00350FA8">
      <w:pPr>
        <w:spacing w:line="0" w:lineRule="atLeast"/>
        <w:rPr>
          <w:rFonts w:cstheme="minorHAnsi"/>
        </w:rPr>
      </w:pPr>
      <w:r w:rsidRPr="002B672B">
        <w:rPr>
          <w:rFonts w:cstheme="minorHAnsi"/>
        </w:rPr>
        <w:t xml:space="preserve">A decision to prescribe </w:t>
      </w:r>
      <w:r w:rsidR="002146A9" w:rsidRPr="002B672B">
        <w:rPr>
          <w:rFonts w:cstheme="minorHAnsi"/>
        </w:rPr>
        <w:t>these drugs</w:t>
      </w:r>
      <w:r w:rsidRPr="002B672B">
        <w:rPr>
          <w:rFonts w:cstheme="minorHAnsi"/>
        </w:rPr>
        <w:t xml:space="preserve"> </w:t>
      </w:r>
      <w:r w:rsidR="004260D0" w:rsidRPr="002B672B">
        <w:rPr>
          <w:rFonts w:cstheme="minorHAnsi"/>
        </w:rPr>
        <w:t>should</w:t>
      </w:r>
      <w:r w:rsidRPr="002B672B">
        <w:rPr>
          <w:rFonts w:cstheme="minorHAnsi"/>
        </w:rPr>
        <w:t xml:space="preserve"> be made by a multi-discip</w:t>
      </w:r>
      <w:r w:rsidR="00D10B5B" w:rsidRPr="002B672B">
        <w:rPr>
          <w:rFonts w:cstheme="minorHAnsi"/>
        </w:rPr>
        <w:t>linary team consisting of:</w:t>
      </w:r>
    </w:p>
    <w:p w14:paraId="18891235" w14:textId="77777777" w:rsidR="00D10B5B" w:rsidRPr="002B672B" w:rsidRDefault="00D10B5B" w:rsidP="00D10B5B">
      <w:pPr>
        <w:pStyle w:val="ListParagraph"/>
        <w:numPr>
          <w:ilvl w:val="0"/>
          <w:numId w:val="20"/>
        </w:numPr>
        <w:spacing w:after="0" w:line="240" w:lineRule="auto"/>
        <w:contextualSpacing w:val="0"/>
        <w:rPr>
          <w:rFonts w:cstheme="minorHAnsi"/>
        </w:rPr>
      </w:pPr>
      <w:r w:rsidRPr="002B672B">
        <w:rPr>
          <w:rFonts w:cstheme="minorHAnsi"/>
        </w:rPr>
        <w:t>The consultant who has responsibility for the patient’s care</w:t>
      </w:r>
    </w:p>
    <w:p w14:paraId="5D8C370C" w14:textId="77777777" w:rsidR="00D10B5B" w:rsidRPr="002B672B" w:rsidRDefault="00D10B5B" w:rsidP="00D10B5B">
      <w:pPr>
        <w:pStyle w:val="ListParagraph"/>
        <w:numPr>
          <w:ilvl w:val="0"/>
          <w:numId w:val="20"/>
        </w:numPr>
        <w:spacing w:after="0" w:line="240" w:lineRule="auto"/>
        <w:contextualSpacing w:val="0"/>
        <w:rPr>
          <w:rFonts w:cstheme="minorHAnsi"/>
        </w:rPr>
      </w:pPr>
      <w:r w:rsidRPr="002B672B">
        <w:rPr>
          <w:rFonts w:cstheme="minorHAnsi"/>
        </w:rPr>
        <w:t xml:space="preserve">Infection specialist </w:t>
      </w:r>
    </w:p>
    <w:p w14:paraId="67289F40" w14:textId="77777777" w:rsidR="00D10B5B" w:rsidRPr="002B672B" w:rsidRDefault="00D10B5B" w:rsidP="00D10B5B">
      <w:pPr>
        <w:pStyle w:val="ListParagraph"/>
        <w:numPr>
          <w:ilvl w:val="1"/>
          <w:numId w:val="22"/>
        </w:numPr>
        <w:spacing w:after="0" w:line="240" w:lineRule="auto"/>
        <w:contextualSpacing w:val="0"/>
        <w:rPr>
          <w:rFonts w:cstheme="minorHAnsi"/>
        </w:rPr>
      </w:pPr>
      <w:r w:rsidRPr="002B672B">
        <w:rPr>
          <w:rFonts w:cstheme="minorHAnsi"/>
        </w:rPr>
        <w:lastRenderedPageBreak/>
        <w:t>RSCH/PRH: ext. 65207 during working hours (or out of hours on-call consultant via switchboard)</w:t>
      </w:r>
    </w:p>
    <w:p w14:paraId="1C723690" w14:textId="77777777" w:rsidR="00D10B5B" w:rsidRPr="002B672B" w:rsidRDefault="00D10B5B" w:rsidP="00D10B5B">
      <w:pPr>
        <w:pStyle w:val="ListParagraph"/>
        <w:numPr>
          <w:ilvl w:val="1"/>
          <w:numId w:val="22"/>
        </w:numPr>
        <w:spacing w:after="0" w:line="240" w:lineRule="auto"/>
        <w:contextualSpacing w:val="0"/>
        <w:rPr>
          <w:rFonts w:cstheme="minorHAnsi"/>
        </w:rPr>
      </w:pPr>
      <w:r w:rsidRPr="002B672B">
        <w:rPr>
          <w:rFonts w:cstheme="minorHAnsi"/>
        </w:rPr>
        <w:t>Worthing: ext. 85398 during working hours (or out of hours on-call microbiologist via switchboard)</w:t>
      </w:r>
    </w:p>
    <w:p w14:paraId="64A403C2" w14:textId="77777777" w:rsidR="00D10B5B" w:rsidRPr="002B672B" w:rsidRDefault="00D10B5B" w:rsidP="00D10B5B">
      <w:pPr>
        <w:pStyle w:val="ListParagraph"/>
        <w:numPr>
          <w:ilvl w:val="1"/>
          <w:numId w:val="22"/>
        </w:numPr>
        <w:spacing w:after="0" w:line="240" w:lineRule="auto"/>
        <w:contextualSpacing w:val="0"/>
        <w:rPr>
          <w:rFonts w:cstheme="minorHAnsi"/>
        </w:rPr>
      </w:pPr>
      <w:r w:rsidRPr="002B672B">
        <w:rPr>
          <w:rFonts w:cstheme="minorHAnsi"/>
        </w:rPr>
        <w:t>SRH: ext. 33547 during working hours (or out of hours on-call microbiologist via switchboard)</w:t>
      </w:r>
    </w:p>
    <w:p w14:paraId="03311454" w14:textId="77777777" w:rsidR="00D10B5B" w:rsidRPr="002B672B" w:rsidRDefault="00D10B5B" w:rsidP="00D10B5B">
      <w:pPr>
        <w:pStyle w:val="ListParagraph"/>
        <w:numPr>
          <w:ilvl w:val="0"/>
          <w:numId w:val="20"/>
        </w:numPr>
        <w:spacing w:after="0" w:line="240" w:lineRule="auto"/>
        <w:contextualSpacing w:val="0"/>
        <w:rPr>
          <w:rFonts w:cstheme="minorHAnsi"/>
        </w:rPr>
      </w:pPr>
      <w:r w:rsidRPr="002B672B">
        <w:rPr>
          <w:rFonts w:cstheme="minorHAnsi"/>
        </w:rPr>
        <w:t xml:space="preserve">Pharmacy </w:t>
      </w:r>
    </w:p>
    <w:p w14:paraId="0CE58EBE" w14:textId="77777777" w:rsidR="00D10B5B" w:rsidRPr="002B672B" w:rsidRDefault="00D10B5B" w:rsidP="00D10B5B">
      <w:pPr>
        <w:pStyle w:val="ListParagraph"/>
        <w:numPr>
          <w:ilvl w:val="1"/>
          <w:numId w:val="21"/>
        </w:numPr>
        <w:spacing w:after="0" w:line="240" w:lineRule="auto"/>
        <w:contextualSpacing w:val="0"/>
        <w:rPr>
          <w:rFonts w:cstheme="minorHAnsi"/>
        </w:rPr>
      </w:pPr>
      <w:r w:rsidRPr="002B672B">
        <w:rPr>
          <w:rFonts w:cstheme="minorHAnsi"/>
        </w:rPr>
        <w:t>RSCH/PRH: infection/critical care specialist pharmacist via their bleep during working hours (or out of hours and weekends on-call pharmacist via switchboard)</w:t>
      </w:r>
    </w:p>
    <w:p w14:paraId="5DA1D9A7" w14:textId="77777777" w:rsidR="00D10B5B" w:rsidRPr="002B672B" w:rsidRDefault="00D10B5B" w:rsidP="00D10B5B">
      <w:pPr>
        <w:pStyle w:val="ListParagraph"/>
        <w:numPr>
          <w:ilvl w:val="1"/>
          <w:numId w:val="21"/>
        </w:numPr>
        <w:spacing w:after="0" w:line="240" w:lineRule="auto"/>
        <w:contextualSpacing w:val="0"/>
        <w:rPr>
          <w:rFonts w:cstheme="minorHAnsi"/>
        </w:rPr>
      </w:pPr>
      <w:r w:rsidRPr="002B672B">
        <w:rPr>
          <w:rFonts w:cstheme="minorHAnsi"/>
        </w:rPr>
        <w:t>Worthing/SRH: ward pharmacist via their bleep (or on-call pharmacist at weekends after 2pm via switchboard)</w:t>
      </w:r>
    </w:p>
    <w:p w14:paraId="3D341E45" w14:textId="77777777" w:rsidR="00655C17" w:rsidRPr="002B672B" w:rsidRDefault="00655C17" w:rsidP="00655C17">
      <w:pPr>
        <w:tabs>
          <w:tab w:val="left" w:pos="1080"/>
        </w:tabs>
        <w:spacing w:after="0" w:line="0" w:lineRule="atLeast"/>
        <w:ind w:left="1080"/>
        <w:rPr>
          <w:rFonts w:cstheme="minorHAnsi"/>
        </w:rPr>
      </w:pPr>
    </w:p>
    <w:p w14:paraId="7DB02FAB" w14:textId="3DC6544F" w:rsidR="002146A9" w:rsidRPr="002B672B" w:rsidRDefault="002146A9" w:rsidP="002146A9">
      <w:pPr>
        <w:tabs>
          <w:tab w:val="left" w:pos="1080"/>
        </w:tabs>
        <w:spacing w:before="120"/>
        <w:rPr>
          <w:rStyle w:val="markedcontent"/>
          <w:rFonts w:cstheme="minorHAnsi"/>
        </w:rPr>
      </w:pPr>
      <w:r w:rsidRPr="002B672B">
        <w:rPr>
          <w:rStyle w:val="markedcontent"/>
          <w:rFonts w:cstheme="minorHAnsi"/>
        </w:rPr>
        <w:t>For patients hospitalised with acute COVID-19 and on general wards these drugs will be available to be administered between 8.00am and 8.00pm. Last supply orders for these should be received in pharmacy by 6.00pm in order to deliver to wards and allow nursing staff to administer.</w:t>
      </w:r>
    </w:p>
    <w:p w14:paraId="31586CC0" w14:textId="4BFAEFB2" w:rsidR="005A3356" w:rsidRPr="002B672B" w:rsidRDefault="002146A9" w:rsidP="002B672B">
      <w:pPr>
        <w:tabs>
          <w:tab w:val="left" w:pos="1080"/>
        </w:tabs>
        <w:spacing w:before="120" w:after="240"/>
        <w:rPr>
          <w:rFonts w:cstheme="minorHAnsi"/>
        </w:rPr>
      </w:pPr>
      <w:r w:rsidRPr="002B672B">
        <w:rPr>
          <w:rStyle w:val="markedcontent"/>
          <w:rFonts w:cstheme="minorHAnsi"/>
        </w:rPr>
        <w:t xml:space="preserve">For patients in critical care, these drugs are available at all times. </w:t>
      </w:r>
    </w:p>
    <w:p w14:paraId="0F0CC8A7" w14:textId="610253DF" w:rsidR="005A3356" w:rsidRPr="002B672B" w:rsidRDefault="00D10B5B" w:rsidP="005A3356">
      <w:pPr>
        <w:tabs>
          <w:tab w:val="left" w:pos="1080"/>
        </w:tabs>
        <w:spacing w:before="120"/>
        <w:rPr>
          <w:rFonts w:cstheme="minorHAnsi"/>
        </w:rPr>
      </w:pPr>
      <w:r w:rsidRPr="002B672B">
        <w:rPr>
          <w:rFonts w:cstheme="minorHAnsi"/>
        </w:rPr>
        <w:t>Completion of a Blueteq form is manda</w:t>
      </w:r>
      <w:r w:rsidR="002146A9" w:rsidRPr="002B672B">
        <w:rPr>
          <w:rFonts w:cstheme="minorHAnsi"/>
        </w:rPr>
        <w:t>tory for approval and supply</w:t>
      </w:r>
      <w:r w:rsidRPr="002B672B">
        <w:rPr>
          <w:rFonts w:cstheme="minorHAnsi"/>
        </w:rPr>
        <w:t>.</w:t>
      </w:r>
    </w:p>
    <w:p w14:paraId="66D4EB9C" w14:textId="77777777" w:rsidR="002B672B" w:rsidRDefault="002B672B" w:rsidP="00D10B5B">
      <w:pPr>
        <w:spacing w:before="120"/>
        <w:rPr>
          <w:rFonts w:cstheme="minorHAnsi"/>
          <w:u w:val="single"/>
        </w:rPr>
      </w:pPr>
    </w:p>
    <w:p w14:paraId="50D4E2D6" w14:textId="6373A6DA" w:rsidR="00D10B5B" w:rsidRPr="002B672B" w:rsidRDefault="00D10B5B" w:rsidP="00D10B5B">
      <w:pPr>
        <w:spacing w:before="120"/>
        <w:rPr>
          <w:rFonts w:cstheme="minorHAnsi"/>
        </w:rPr>
      </w:pPr>
      <w:r w:rsidRPr="002B672B">
        <w:rPr>
          <w:rFonts w:cstheme="minorHAnsi"/>
          <w:u w:val="single"/>
        </w:rPr>
        <w:t>RSCH/PRH</w:t>
      </w:r>
    </w:p>
    <w:p w14:paraId="6B445848" w14:textId="77777777" w:rsidR="005A3356" w:rsidRPr="002B672B" w:rsidRDefault="00D10B5B" w:rsidP="00D10B5B">
      <w:pPr>
        <w:spacing w:before="120"/>
        <w:rPr>
          <w:rFonts w:cstheme="minorHAnsi"/>
          <w:u w:val="single"/>
        </w:rPr>
      </w:pPr>
      <w:r w:rsidRPr="002B672B">
        <w:rPr>
          <w:rFonts w:cstheme="minorHAnsi"/>
        </w:rPr>
        <w:t>The Blueteq form must be completed by the specialist pharmacist for all requests. The pharmacist supplying the medication should inform the infection specialist pharmacist via email or on bleep 8033.</w:t>
      </w:r>
    </w:p>
    <w:p w14:paraId="6766DF01" w14:textId="6FAD6D3B" w:rsidR="00D10B5B" w:rsidRPr="002B672B" w:rsidRDefault="00D10B5B" w:rsidP="00D10B5B">
      <w:pPr>
        <w:spacing w:before="120"/>
        <w:rPr>
          <w:rFonts w:cstheme="minorHAnsi"/>
          <w:u w:val="single"/>
        </w:rPr>
      </w:pPr>
      <w:r w:rsidRPr="002B672B">
        <w:rPr>
          <w:rFonts w:cstheme="minorHAnsi"/>
          <w:u w:val="single"/>
        </w:rPr>
        <w:t>Worthing/SRH</w:t>
      </w:r>
    </w:p>
    <w:p w14:paraId="618C7B8C" w14:textId="353B2917" w:rsidR="002146A9" w:rsidRPr="002B672B" w:rsidRDefault="00D10B5B" w:rsidP="00936BA1">
      <w:pPr>
        <w:tabs>
          <w:tab w:val="left" w:pos="1080"/>
        </w:tabs>
        <w:spacing w:before="120"/>
        <w:rPr>
          <w:rFonts w:cstheme="minorHAnsi"/>
          <w:b/>
          <w:bCs/>
        </w:rPr>
      </w:pPr>
      <w:r w:rsidRPr="002B672B">
        <w:rPr>
          <w:rFonts w:cstheme="minorHAnsi"/>
        </w:rPr>
        <w:t xml:space="preserve">The Blueteq form must be completed by the prescribing clinician and processed by the ward pharmacist. This is available on the </w:t>
      </w:r>
      <w:hyperlink r:id="rId15" w:history="1">
        <w:r w:rsidRPr="002B672B">
          <w:rPr>
            <w:rStyle w:val="Hyperlink"/>
            <w:rFonts w:cstheme="minorHAnsi"/>
          </w:rPr>
          <w:t>intranet</w:t>
        </w:r>
      </w:hyperlink>
      <w:r w:rsidRPr="002B672B">
        <w:rPr>
          <w:rFonts w:cstheme="minorHAnsi"/>
        </w:rPr>
        <w:t xml:space="preserve">. Blueteq forms must be emailed to </w:t>
      </w:r>
      <w:hyperlink r:id="rId16" w:history="1">
        <w:r w:rsidRPr="002B672B">
          <w:rPr>
            <w:rStyle w:val="Hyperlink"/>
            <w:rFonts w:cstheme="minorHAnsi"/>
          </w:rPr>
          <w:t>uhsussex.COVIDdrugforms@nhs.net</w:t>
        </w:r>
      </w:hyperlink>
      <w:r w:rsidRPr="002B672B">
        <w:rPr>
          <w:rFonts w:cstheme="minorHAnsi"/>
        </w:rPr>
        <w:t xml:space="preserve"> and </w:t>
      </w:r>
      <w:hyperlink r:id="rId17" w:history="1">
        <w:r w:rsidRPr="002B672B">
          <w:rPr>
            <w:rStyle w:val="Hyperlink"/>
            <w:rFonts w:cstheme="minorHAnsi"/>
          </w:rPr>
          <w:t>uhsussex.research@nhs.net</w:t>
        </w:r>
      </w:hyperlink>
      <w:r w:rsidRPr="002B672B">
        <w:rPr>
          <w:rFonts w:cstheme="minorHAnsi"/>
        </w:rPr>
        <w:t xml:space="preserve"> by the ward pharmacist to be reviewed by the antimicrobial pharmacists.</w:t>
      </w:r>
    </w:p>
    <w:p w14:paraId="417342E1" w14:textId="77777777" w:rsidR="002B672B" w:rsidRDefault="002B672B" w:rsidP="005F2C40">
      <w:pPr>
        <w:rPr>
          <w:rFonts w:cstheme="minorHAnsi"/>
          <w:b/>
          <w:bCs/>
          <w:u w:val="single"/>
        </w:rPr>
      </w:pPr>
    </w:p>
    <w:p w14:paraId="36022A66" w14:textId="4AD3FBE4" w:rsidR="00AA0353" w:rsidRPr="002B672B" w:rsidRDefault="003E2FB5" w:rsidP="005F2C40">
      <w:pPr>
        <w:rPr>
          <w:rFonts w:cstheme="minorHAnsi"/>
          <w:b/>
          <w:bCs/>
          <w:u w:val="single"/>
        </w:rPr>
      </w:pPr>
      <w:r w:rsidRPr="002B672B">
        <w:rPr>
          <w:rFonts w:cstheme="minorHAnsi"/>
          <w:b/>
          <w:bCs/>
          <w:u w:val="single"/>
        </w:rPr>
        <w:t>Continuing care</w:t>
      </w:r>
    </w:p>
    <w:p w14:paraId="70549381" w14:textId="544142DB" w:rsidR="005F2C40" w:rsidRPr="002B672B" w:rsidRDefault="005F2C40" w:rsidP="005F2C40">
      <w:pPr>
        <w:rPr>
          <w:rFonts w:cstheme="minorHAnsi"/>
        </w:rPr>
      </w:pPr>
      <w:r w:rsidRPr="002B672B">
        <w:rPr>
          <w:rFonts w:cstheme="minorHAnsi"/>
        </w:rPr>
        <w:t>All handovers of clinical care (including between hospitals if patients are transferred, between levels of care and clinical teams within hospitals) must explicit</w:t>
      </w:r>
      <w:r w:rsidR="002146A9" w:rsidRPr="002B672B">
        <w:rPr>
          <w:rFonts w:cstheme="minorHAnsi"/>
        </w:rPr>
        <w:t>ly mention that IL-6 Inhibitor, Baricitinib or Remdesivir</w:t>
      </w:r>
      <w:r w:rsidRPr="002B672B">
        <w:rPr>
          <w:rFonts w:cstheme="minorHAnsi"/>
        </w:rPr>
        <w:t xml:space="preserve"> has been given and the date of administration. </w:t>
      </w:r>
    </w:p>
    <w:p w14:paraId="06FDA3A9" w14:textId="77777777" w:rsidR="002146A9" w:rsidRPr="002B672B" w:rsidRDefault="008D22DF" w:rsidP="00C5691B">
      <w:pPr>
        <w:tabs>
          <w:tab w:val="left" w:pos="1080"/>
        </w:tabs>
        <w:spacing w:line="0" w:lineRule="atLeast"/>
        <w:rPr>
          <w:rFonts w:cstheme="minorHAnsi"/>
        </w:rPr>
      </w:pPr>
      <w:r w:rsidRPr="002B672B">
        <w:rPr>
          <w:rFonts w:cstheme="minorHAnsi"/>
        </w:rPr>
        <w:t xml:space="preserve">The GP should be informed on the discharge summary that an </w:t>
      </w:r>
      <w:r w:rsidR="002146A9" w:rsidRPr="002B672B">
        <w:rPr>
          <w:rFonts w:cstheme="minorHAnsi"/>
        </w:rPr>
        <w:t xml:space="preserve">IL-6 Inhibitor, Baricitinib or Remdesivir </w:t>
      </w:r>
      <w:r w:rsidRPr="002B672B">
        <w:rPr>
          <w:rFonts w:cstheme="minorHAnsi"/>
        </w:rPr>
        <w:t xml:space="preserve">has been prescribed specifying the date of administration. </w:t>
      </w:r>
    </w:p>
    <w:p w14:paraId="1BEB2606" w14:textId="033CED32" w:rsidR="008D22DF" w:rsidRPr="002B672B" w:rsidRDefault="008D22DF" w:rsidP="00C5691B">
      <w:pPr>
        <w:tabs>
          <w:tab w:val="left" w:pos="1080"/>
        </w:tabs>
        <w:spacing w:line="0" w:lineRule="atLeast"/>
        <w:rPr>
          <w:rFonts w:cstheme="minorHAnsi"/>
        </w:rPr>
      </w:pPr>
      <w:r w:rsidRPr="002B672B">
        <w:rPr>
          <w:rFonts w:cstheme="minorHAnsi"/>
        </w:rPr>
        <w:t xml:space="preserve">A patient information leaflet </w:t>
      </w:r>
      <w:r w:rsidR="002146A9" w:rsidRPr="002B672B">
        <w:rPr>
          <w:rFonts w:cstheme="minorHAnsi"/>
        </w:rPr>
        <w:t xml:space="preserve">for IL-6 Inhibitor </w:t>
      </w:r>
      <w:r w:rsidRPr="002B672B">
        <w:rPr>
          <w:rFonts w:cstheme="minorHAnsi"/>
        </w:rPr>
        <w:t>should be provided prior to hospital discharge</w:t>
      </w:r>
      <w:r w:rsidR="00F16CBB" w:rsidRPr="002B672B">
        <w:rPr>
          <w:rFonts w:cstheme="minorHAnsi"/>
        </w:rPr>
        <w:t xml:space="preserve"> </w:t>
      </w:r>
      <w:r w:rsidR="002146A9" w:rsidRPr="002B672B">
        <w:rPr>
          <w:rFonts w:cstheme="minorHAnsi"/>
        </w:rPr>
        <w:t xml:space="preserve">and </w:t>
      </w:r>
      <w:r w:rsidR="00F16CBB" w:rsidRPr="002B672B">
        <w:rPr>
          <w:rFonts w:cstheme="minorHAnsi"/>
        </w:rPr>
        <w:t xml:space="preserve">this is available </w:t>
      </w:r>
      <w:hyperlink r:id="rId18" w:history="1">
        <w:r w:rsidR="00F16CBB" w:rsidRPr="002B672B">
          <w:rPr>
            <w:rStyle w:val="Hyperlink"/>
            <w:rFonts w:cstheme="minorHAnsi"/>
          </w:rPr>
          <w:t>here</w:t>
        </w:r>
      </w:hyperlink>
      <w:r w:rsidRPr="002B672B">
        <w:rPr>
          <w:rFonts w:cstheme="minorHAnsi"/>
        </w:rPr>
        <w:t>.</w:t>
      </w:r>
      <w:r w:rsidR="002146A9" w:rsidRPr="002B672B">
        <w:rPr>
          <w:rFonts w:cstheme="minorHAnsi"/>
        </w:rPr>
        <w:t xml:space="preserve"> </w:t>
      </w:r>
    </w:p>
    <w:p w14:paraId="3B2679CE" w14:textId="77777777" w:rsidR="003E2FB5" w:rsidRPr="002B672B" w:rsidRDefault="003E2FB5" w:rsidP="00202D04">
      <w:pPr>
        <w:spacing w:after="0"/>
        <w:rPr>
          <w:rFonts w:cstheme="minorHAnsi"/>
          <w:b/>
        </w:rPr>
      </w:pPr>
    </w:p>
    <w:p w14:paraId="4EE304A9" w14:textId="742D829D" w:rsidR="00E17E34" w:rsidRPr="002B672B" w:rsidRDefault="00E17E34" w:rsidP="00202D04">
      <w:pPr>
        <w:spacing w:after="0"/>
        <w:rPr>
          <w:rFonts w:cstheme="minorHAnsi"/>
          <w:b/>
          <w:u w:val="single"/>
        </w:rPr>
      </w:pPr>
      <w:r w:rsidRPr="002B672B">
        <w:rPr>
          <w:rFonts w:cstheme="minorHAnsi"/>
          <w:b/>
          <w:u w:val="single"/>
        </w:rPr>
        <w:t>Dose</w:t>
      </w:r>
      <w:r w:rsidR="00C5691B" w:rsidRPr="002B672B">
        <w:rPr>
          <w:rFonts w:cstheme="minorHAnsi"/>
          <w:b/>
          <w:u w:val="single"/>
        </w:rPr>
        <w:t xml:space="preserve"> &amp; Administration</w:t>
      </w:r>
    </w:p>
    <w:p w14:paraId="373F409A" w14:textId="77777777" w:rsidR="00C5691B" w:rsidRPr="002B672B" w:rsidRDefault="00C5691B" w:rsidP="00202D04">
      <w:pPr>
        <w:spacing w:after="0"/>
        <w:rPr>
          <w:rFonts w:cstheme="minorHAnsi"/>
          <w:b/>
        </w:rPr>
      </w:pPr>
    </w:p>
    <w:p w14:paraId="2CEA2447" w14:textId="07739409" w:rsidR="002146A9" w:rsidRPr="002B672B" w:rsidRDefault="002146A9" w:rsidP="00202D04">
      <w:pPr>
        <w:spacing w:after="0"/>
        <w:rPr>
          <w:rFonts w:cstheme="minorHAnsi"/>
          <w:b/>
        </w:rPr>
      </w:pPr>
      <w:r w:rsidRPr="002B672B">
        <w:rPr>
          <w:rFonts w:cstheme="minorHAnsi"/>
          <w:b/>
        </w:rPr>
        <w:t>IL-6 Inhibitors</w:t>
      </w:r>
    </w:p>
    <w:p w14:paraId="605C1D9E" w14:textId="65527676" w:rsidR="002146A9" w:rsidRPr="002B672B" w:rsidRDefault="002146A9" w:rsidP="005A3356">
      <w:pPr>
        <w:rPr>
          <w:rFonts w:cstheme="minorHAnsi"/>
        </w:rPr>
      </w:pPr>
      <w:r w:rsidRPr="002B672B">
        <w:rPr>
          <w:rFonts w:cstheme="minorHAnsi"/>
        </w:rPr>
        <w:t>Tocilizumab should be considered the first line IL-6 Inhibitor as it is now a licensed medication for this indication. Sarilumab does not yet have a licence (marketing authorisation) for use in COVID-19 but may be used in place of tocilizumab if stock of tocilizumab cannot be obtained or there is a national shortage of tocilizumab.</w:t>
      </w:r>
    </w:p>
    <w:p w14:paraId="1C197E43" w14:textId="685556A7" w:rsidR="00C5691B" w:rsidRPr="002B672B" w:rsidRDefault="00C5691B" w:rsidP="00202D04">
      <w:pPr>
        <w:spacing w:after="0"/>
        <w:rPr>
          <w:rFonts w:cstheme="minorHAnsi"/>
          <w:b/>
        </w:rPr>
      </w:pPr>
      <w:r w:rsidRPr="002B672B">
        <w:rPr>
          <w:rFonts w:cstheme="minorHAnsi"/>
          <w:b/>
        </w:rPr>
        <w:t>Tocilizumab</w:t>
      </w:r>
    </w:p>
    <w:p w14:paraId="7636ADE5" w14:textId="7C5866D4" w:rsidR="00202D04" w:rsidRPr="002B672B" w:rsidRDefault="00C5691B" w:rsidP="00202D04">
      <w:pPr>
        <w:pStyle w:val="ListParagraph"/>
        <w:numPr>
          <w:ilvl w:val="0"/>
          <w:numId w:val="3"/>
        </w:numPr>
        <w:spacing w:after="0"/>
        <w:rPr>
          <w:rFonts w:cstheme="minorHAnsi"/>
        </w:rPr>
      </w:pPr>
      <w:r w:rsidRPr="002B672B">
        <w:rPr>
          <w:rFonts w:cstheme="minorHAnsi"/>
        </w:rPr>
        <w:t xml:space="preserve">The recommended dose of tocilizumab is </w:t>
      </w:r>
      <w:r w:rsidR="00202D04" w:rsidRPr="002B672B">
        <w:rPr>
          <w:rFonts w:cstheme="minorHAnsi"/>
        </w:rPr>
        <w:t xml:space="preserve">8mg/kg </w:t>
      </w:r>
      <w:r w:rsidR="00606A81" w:rsidRPr="002B672B">
        <w:rPr>
          <w:rFonts w:cstheme="minorHAnsi"/>
        </w:rPr>
        <w:t xml:space="preserve">IV </w:t>
      </w:r>
      <w:r w:rsidRPr="002B672B">
        <w:rPr>
          <w:rFonts w:cstheme="minorHAnsi"/>
        </w:rPr>
        <w:t xml:space="preserve">as a </w:t>
      </w:r>
      <w:r w:rsidRPr="002B672B">
        <w:rPr>
          <w:rFonts w:cstheme="minorHAnsi"/>
          <w:u w:val="single"/>
        </w:rPr>
        <w:t>single</w:t>
      </w:r>
      <w:r w:rsidRPr="002B672B">
        <w:rPr>
          <w:rFonts w:cstheme="minorHAnsi"/>
        </w:rPr>
        <w:t xml:space="preserve"> dose (maximum 800mg)</w:t>
      </w:r>
    </w:p>
    <w:p w14:paraId="2ABA169D" w14:textId="2F04A5D6" w:rsidR="003755EC" w:rsidRPr="002B672B" w:rsidRDefault="00E17E34" w:rsidP="003755EC">
      <w:pPr>
        <w:pStyle w:val="ListParagraph"/>
        <w:numPr>
          <w:ilvl w:val="0"/>
          <w:numId w:val="3"/>
        </w:numPr>
        <w:spacing w:after="0"/>
        <w:rPr>
          <w:rFonts w:cstheme="minorHAnsi"/>
        </w:rPr>
      </w:pPr>
      <w:r w:rsidRPr="002B672B">
        <w:rPr>
          <w:rFonts w:cstheme="minorHAnsi"/>
        </w:rPr>
        <w:t xml:space="preserve">The vials come in </w:t>
      </w:r>
      <w:r w:rsidR="001F0060" w:rsidRPr="002B672B">
        <w:rPr>
          <w:rFonts w:cstheme="minorHAnsi"/>
        </w:rPr>
        <w:t xml:space="preserve">80mg, </w:t>
      </w:r>
      <w:r w:rsidRPr="002B672B">
        <w:rPr>
          <w:rFonts w:cstheme="minorHAnsi"/>
        </w:rPr>
        <w:t>200mg and 400mg sizes</w:t>
      </w:r>
      <w:r w:rsidR="00C5691B" w:rsidRPr="002B672B">
        <w:rPr>
          <w:rFonts w:cstheme="minorHAnsi"/>
        </w:rPr>
        <w:t>;</w:t>
      </w:r>
      <w:r w:rsidRPr="002B672B">
        <w:rPr>
          <w:rFonts w:cstheme="minorHAnsi"/>
        </w:rPr>
        <w:t xml:space="preserve"> round doses to nearest vial size to reduce wastage</w:t>
      </w:r>
    </w:p>
    <w:p w14:paraId="40025895" w14:textId="23D18099" w:rsidR="00B93E1E" w:rsidRPr="002B672B" w:rsidRDefault="00B93E1E" w:rsidP="00C5691B">
      <w:pPr>
        <w:pStyle w:val="ListParagraph"/>
        <w:spacing w:after="0"/>
        <w:rPr>
          <w:rFonts w:cstheme="minorHAnsi"/>
        </w:rPr>
      </w:pPr>
    </w:p>
    <w:tbl>
      <w:tblPr>
        <w:tblStyle w:val="LightList-Accent5"/>
        <w:tblW w:w="0" w:type="auto"/>
        <w:tblInd w:w="108" w:type="dxa"/>
        <w:tblLook w:val="04A0" w:firstRow="1" w:lastRow="0" w:firstColumn="1" w:lastColumn="0" w:noHBand="0" w:noVBand="1"/>
      </w:tblPr>
      <w:tblGrid>
        <w:gridCol w:w="4494"/>
        <w:gridCol w:w="4404"/>
      </w:tblGrid>
      <w:tr w:rsidR="003755EC" w:rsidRPr="002B672B" w14:paraId="0DEDC4F2" w14:textId="77777777" w:rsidTr="00A1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50D13E9" w14:textId="77777777" w:rsidR="003755EC" w:rsidRPr="002B672B" w:rsidRDefault="003755EC" w:rsidP="003755EC">
            <w:pPr>
              <w:pStyle w:val="ListParagraph"/>
              <w:spacing w:line="276" w:lineRule="auto"/>
              <w:rPr>
                <w:rFonts w:cstheme="minorHAnsi"/>
              </w:rPr>
            </w:pPr>
            <w:r w:rsidRPr="002B672B">
              <w:rPr>
                <w:rFonts w:cstheme="minorHAnsi"/>
              </w:rPr>
              <w:t>Actual body weight (kg)</w:t>
            </w:r>
          </w:p>
        </w:tc>
        <w:tc>
          <w:tcPr>
            <w:tcW w:w="4418" w:type="dxa"/>
          </w:tcPr>
          <w:p w14:paraId="51C1ABEF" w14:textId="5EA470A0" w:rsidR="003755EC" w:rsidRPr="002B672B" w:rsidRDefault="003755EC" w:rsidP="00A11729">
            <w:pPr>
              <w:pStyle w:val="ListParagraph"/>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2B672B">
              <w:rPr>
                <w:rFonts w:cstheme="minorHAnsi"/>
              </w:rPr>
              <w:t xml:space="preserve">Recommended dose </w:t>
            </w:r>
            <w:r w:rsidR="00A11729" w:rsidRPr="002B672B">
              <w:rPr>
                <w:rFonts w:cstheme="minorHAnsi"/>
              </w:rPr>
              <w:t>of tocilizumab</w:t>
            </w:r>
          </w:p>
        </w:tc>
      </w:tr>
      <w:tr w:rsidR="003755EC" w:rsidRPr="002B672B" w14:paraId="40B53F4C" w14:textId="77777777" w:rsidTr="00A1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75A93893" w14:textId="7E7D53C1" w:rsidR="003755EC" w:rsidRPr="002B672B" w:rsidRDefault="003755EC" w:rsidP="003E2FB5">
            <w:pPr>
              <w:pStyle w:val="ListParagraph"/>
              <w:spacing w:line="276" w:lineRule="auto"/>
              <w:rPr>
                <w:rFonts w:cstheme="minorHAnsi"/>
              </w:rPr>
            </w:pPr>
            <w:r w:rsidRPr="002B672B">
              <w:rPr>
                <w:rFonts w:cstheme="minorHAnsi"/>
              </w:rPr>
              <w:t>&lt;</w:t>
            </w:r>
            <w:r w:rsidR="003E2FB5" w:rsidRPr="002B672B">
              <w:rPr>
                <w:rFonts w:cstheme="minorHAnsi"/>
              </w:rPr>
              <w:t xml:space="preserve"> 4</w:t>
            </w:r>
            <w:r w:rsidRPr="002B672B">
              <w:rPr>
                <w:rFonts w:cstheme="minorHAnsi"/>
              </w:rPr>
              <w:t>1kg</w:t>
            </w:r>
          </w:p>
        </w:tc>
        <w:tc>
          <w:tcPr>
            <w:tcW w:w="4418" w:type="dxa"/>
          </w:tcPr>
          <w:p w14:paraId="77EC563C" w14:textId="78ACA48D" w:rsidR="003755EC" w:rsidRPr="002B672B" w:rsidRDefault="009950D2" w:rsidP="009950D2">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B672B">
              <w:rPr>
                <w:rFonts w:cstheme="minorHAnsi"/>
              </w:rPr>
              <w:t>320mg</w:t>
            </w:r>
          </w:p>
        </w:tc>
      </w:tr>
      <w:tr w:rsidR="003755EC" w:rsidRPr="002B672B" w14:paraId="23FB9A6A" w14:textId="77777777" w:rsidTr="00A11729">
        <w:tc>
          <w:tcPr>
            <w:cnfStyle w:val="001000000000" w:firstRow="0" w:lastRow="0" w:firstColumn="1" w:lastColumn="0" w:oddVBand="0" w:evenVBand="0" w:oddHBand="0" w:evenHBand="0" w:firstRowFirstColumn="0" w:firstRowLastColumn="0" w:lastRowFirstColumn="0" w:lastRowLastColumn="0"/>
            <w:tcW w:w="4513" w:type="dxa"/>
          </w:tcPr>
          <w:p w14:paraId="044A180F" w14:textId="77777777" w:rsidR="003755EC" w:rsidRPr="002B672B" w:rsidRDefault="003755EC" w:rsidP="003755EC">
            <w:pPr>
              <w:pStyle w:val="ListParagraph"/>
              <w:spacing w:line="276" w:lineRule="auto"/>
              <w:rPr>
                <w:rFonts w:cstheme="minorHAnsi"/>
              </w:rPr>
            </w:pPr>
            <w:r w:rsidRPr="002B672B">
              <w:rPr>
                <w:rFonts w:cstheme="minorHAnsi"/>
              </w:rPr>
              <w:t>41 - 45kg</w:t>
            </w:r>
          </w:p>
        </w:tc>
        <w:tc>
          <w:tcPr>
            <w:tcW w:w="4418" w:type="dxa"/>
          </w:tcPr>
          <w:p w14:paraId="2989BBEF" w14:textId="77777777" w:rsidR="003755EC" w:rsidRPr="002B672B" w:rsidRDefault="003755EC" w:rsidP="003755E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2B672B">
              <w:rPr>
                <w:rFonts w:cstheme="minorHAnsi"/>
              </w:rPr>
              <w:t>360mg</w:t>
            </w:r>
          </w:p>
        </w:tc>
      </w:tr>
      <w:tr w:rsidR="003755EC" w:rsidRPr="002B672B" w14:paraId="5A3D2DF2" w14:textId="77777777" w:rsidTr="00A1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65F9F24" w14:textId="77777777" w:rsidR="003755EC" w:rsidRPr="002B672B" w:rsidRDefault="003755EC" w:rsidP="003755EC">
            <w:pPr>
              <w:pStyle w:val="ListParagraph"/>
              <w:spacing w:line="276" w:lineRule="auto"/>
              <w:rPr>
                <w:rFonts w:cstheme="minorHAnsi"/>
              </w:rPr>
            </w:pPr>
            <w:r w:rsidRPr="002B672B">
              <w:rPr>
                <w:rFonts w:cstheme="minorHAnsi"/>
              </w:rPr>
              <w:t>46 - 55kg</w:t>
            </w:r>
          </w:p>
        </w:tc>
        <w:tc>
          <w:tcPr>
            <w:tcW w:w="4418" w:type="dxa"/>
          </w:tcPr>
          <w:p w14:paraId="1D68D842" w14:textId="77777777" w:rsidR="003755EC" w:rsidRPr="002B672B" w:rsidRDefault="003755EC" w:rsidP="003755E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B672B">
              <w:rPr>
                <w:rFonts w:cstheme="minorHAnsi"/>
              </w:rPr>
              <w:t>400mg</w:t>
            </w:r>
          </w:p>
        </w:tc>
      </w:tr>
      <w:tr w:rsidR="003755EC" w:rsidRPr="002B672B" w14:paraId="3860AB64" w14:textId="77777777" w:rsidTr="00A11729">
        <w:tc>
          <w:tcPr>
            <w:cnfStyle w:val="001000000000" w:firstRow="0" w:lastRow="0" w:firstColumn="1" w:lastColumn="0" w:oddVBand="0" w:evenVBand="0" w:oddHBand="0" w:evenHBand="0" w:firstRowFirstColumn="0" w:firstRowLastColumn="0" w:lastRowFirstColumn="0" w:lastRowLastColumn="0"/>
            <w:tcW w:w="4513" w:type="dxa"/>
          </w:tcPr>
          <w:p w14:paraId="7818922C" w14:textId="77777777" w:rsidR="003755EC" w:rsidRPr="002B672B" w:rsidRDefault="003755EC" w:rsidP="003755EC">
            <w:pPr>
              <w:pStyle w:val="ListParagraph"/>
              <w:spacing w:line="276" w:lineRule="auto"/>
              <w:rPr>
                <w:rFonts w:cstheme="minorHAnsi"/>
              </w:rPr>
            </w:pPr>
            <w:r w:rsidRPr="002B672B">
              <w:rPr>
                <w:rFonts w:cstheme="minorHAnsi"/>
              </w:rPr>
              <w:t>56 - 65kg</w:t>
            </w:r>
          </w:p>
        </w:tc>
        <w:tc>
          <w:tcPr>
            <w:tcW w:w="4418" w:type="dxa"/>
          </w:tcPr>
          <w:p w14:paraId="61ACAC73" w14:textId="77777777" w:rsidR="003755EC" w:rsidRPr="002B672B" w:rsidRDefault="003755EC" w:rsidP="003755E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2B672B">
              <w:rPr>
                <w:rFonts w:cstheme="minorHAnsi"/>
              </w:rPr>
              <w:t>480mg</w:t>
            </w:r>
          </w:p>
        </w:tc>
      </w:tr>
      <w:tr w:rsidR="003755EC" w:rsidRPr="002B672B" w14:paraId="3D994983" w14:textId="77777777" w:rsidTr="00A1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F9BFF94" w14:textId="77777777" w:rsidR="003755EC" w:rsidRPr="002B672B" w:rsidRDefault="003755EC" w:rsidP="003755EC">
            <w:pPr>
              <w:pStyle w:val="ListParagraph"/>
              <w:spacing w:line="276" w:lineRule="auto"/>
              <w:rPr>
                <w:rFonts w:cstheme="minorHAnsi"/>
              </w:rPr>
            </w:pPr>
            <w:r w:rsidRPr="002B672B">
              <w:rPr>
                <w:rFonts w:cstheme="minorHAnsi"/>
              </w:rPr>
              <w:t>66 - 80kg</w:t>
            </w:r>
          </w:p>
        </w:tc>
        <w:tc>
          <w:tcPr>
            <w:tcW w:w="4418" w:type="dxa"/>
          </w:tcPr>
          <w:p w14:paraId="4EA8D251" w14:textId="77777777" w:rsidR="003755EC" w:rsidRPr="002B672B" w:rsidRDefault="003755EC" w:rsidP="003755E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B672B">
              <w:rPr>
                <w:rFonts w:cstheme="minorHAnsi"/>
              </w:rPr>
              <w:t>600mg</w:t>
            </w:r>
          </w:p>
        </w:tc>
      </w:tr>
      <w:tr w:rsidR="003755EC" w:rsidRPr="002B672B" w14:paraId="19D62604" w14:textId="77777777" w:rsidTr="00A11729">
        <w:tc>
          <w:tcPr>
            <w:cnfStyle w:val="001000000000" w:firstRow="0" w:lastRow="0" w:firstColumn="1" w:lastColumn="0" w:oddVBand="0" w:evenVBand="0" w:oddHBand="0" w:evenHBand="0" w:firstRowFirstColumn="0" w:firstRowLastColumn="0" w:lastRowFirstColumn="0" w:lastRowLastColumn="0"/>
            <w:tcW w:w="4513" w:type="dxa"/>
          </w:tcPr>
          <w:p w14:paraId="3CA6097F" w14:textId="77777777" w:rsidR="003755EC" w:rsidRPr="002B672B" w:rsidRDefault="003755EC" w:rsidP="003755EC">
            <w:pPr>
              <w:pStyle w:val="ListParagraph"/>
              <w:spacing w:line="276" w:lineRule="auto"/>
              <w:rPr>
                <w:rFonts w:cstheme="minorHAnsi"/>
              </w:rPr>
            </w:pPr>
            <w:r w:rsidRPr="002B672B">
              <w:rPr>
                <w:rFonts w:cstheme="minorHAnsi"/>
              </w:rPr>
              <w:t>81 - 90kg</w:t>
            </w:r>
          </w:p>
        </w:tc>
        <w:tc>
          <w:tcPr>
            <w:tcW w:w="4418" w:type="dxa"/>
          </w:tcPr>
          <w:p w14:paraId="48C71DFC" w14:textId="77777777" w:rsidR="003755EC" w:rsidRPr="002B672B" w:rsidRDefault="003755EC" w:rsidP="003755E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2B672B">
              <w:rPr>
                <w:rFonts w:cstheme="minorHAnsi"/>
              </w:rPr>
              <w:t>680mg</w:t>
            </w:r>
          </w:p>
        </w:tc>
      </w:tr>
      <w:tr w:rsidR="003755EC" w:rsidRPr="002B672B" w14:paraId="5C74C285" w14:textId="77777777" w:rsidTr="00A1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77D1648" w14:textId="29031BA2" w:rsidR="003755EC" w:rsidRPr="002B672B" w:rsidRDefault="003755EC" w:rsidP="003755EC">
            <w:pPr>
              <w:pStyle w:val="ListParagraph"/>
              <w:spacing w:line="276" w:lineRule="auto"/>
              <w:rPr>
                <w:rFonts w:cstheme="minorHAnsi"/>
              </w:rPr>
            </w:pPr>
            <w:r w:rsidRPr="002B672B">
              <w:rPr>
                <w:rFonts w:cstheme="minorHAnsi"/>
              </w:rPr>
              <w:t>≥</w:t>
            </w:r>
            <w:r w:rsidR="003E2FB5" w:rsidRPr="002B672B">
              <w:rPr>
                <w:rFonts w:cstheme="minorHAnsi"/>
              </w:rPr>
              <w:t xml:space="preserve"> </w:t>
            </w:r>
            <w:r w:rsidRPr="002B672B">
              <w:rPr>
                <w:rFonts w:cstheme="minorHAnsi"/>
              </w:rPr>
              <w:t>91kg</w:t>
            </w:r>
          </w:p>
        </w:tc>
        <w:tc>
          <w:tcPr>
            <w:tcW w:w="4418" w:type="dxa"/>
          </w:tcPr>
          <w:p w14:paraId="24CCB627" w14:textId="77777777" w:rsidR="003755EC" w:rsidRPr="002B672B" w:rsidRDefault="003755EC" w:rsidP="003755E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B672B">
              <w:rPr>
                <w:rFonts w:cstheme="minorHAnsi"/>
              </w:rPr>
              <w:t>800mg</w:t>
            </w:r>
          </w:p>
        </w:tc>
      </w:tr>
    </w:tbl>
    <w:p w14:paraId="065745AE" w14:textId="77777777" w:rsidR="003755EC" w:rsidRPr="002B672B" w:rsidRDefault="003755EC" w:rsidP="003755EC">
      <w:pPr>
        <w:pStyle w:val="ListParagraph"/>
        <w:spacing w:after="0"/>
        <w:rPr>
          <w:rFonts w:cstheme="minorHAnsi"/>
        </w:rPr>
      </w:pPr>
    </w:p>
    <w:p w14:paraId="5D999557" w14:textId="058E0165" w:rsidR="00C5691B" w:rsidRPr="002B672B" w:rsidRDefault="00C5691B" w:rsidP="00F02905">
      <w:pPr>
        <w:pStyle w:val="ListParagraph"/>
        <w:numPr>
          <w:ilvl w:val="0"/>
          <w:numId w:val="3"/>
        </w:numPr>
        <w:spacing w:after="0"/>
        <w:rPr>
          <w:rFonts w:cstheme="minorHAnsi"/>
        </w:rPr>
      </w:pPr>
      <w:r w:rsidRPr="002B672B">
        <w:rPr>
          <w:rFonts w:cstheme="minorHAnsi"/>
        </w:rPr>
        <w:t>Administer</w:t>
      </w:r>
      <w:r w:rsidR="00F16CBB" w:rsidRPr="002B672B">
        <w:rPr>
          <w:rStyle w:val="FootnoteReference"/>
          <w:rFonts w:cstheme="minorHAnsi"/>
        </w:rPr>
        <w:footnoteReference w:id="2"/>
      </w:r>
      <w:r w:rsidRPr="002B672B">
        <w:rPr>
          <w:rFonts w:cstheme="minorHAnsi"/>
        </w:rPr>
        <w:t xml:space="preserve"> in 100mL</w:t>
      </w:r>
      <w:r w:rsidR="00E17E34" w:rsidRPr="002B672B">
        <w:rPr>
          <w:rFonts w:cstheme="minorHAnsi"/>
        </w:rPr>
        <w:t xml:space="preserve"> 0.9% sodium chloride, after removing an equivalent volume of saline </w:t>
      </w:r>
      <w:r w:rsidRPr="002B672B">
        <w:rPr>
          <w:rFonts w:cstheme="minorHAnsi"/>
        </w:rPr>
        <w:t xml:space="preserve">(total volume 100mL). </w:t>
      </w:r>
    </w:p>
    <w:p w14:paraId="238B7FEA" w14:textId="74B32249" w:rsidR="00F02905" w:rsidRPr="006944AD" w:rsidRDefault="002B672B" w:rsidP="00F02905">
      <w:pPr>
        <w:pStyle w:val="ListParagraph"/>
        <w:numPr>
          <w:ilvl w:val="0"/>
          <w:numId w:val="3"/>
        </w:numPr>
        <w:spacing w:after="0"/>
        <w:rPr>
          <w:rFonts w:cstheme="minorHAnsi"/>
        </w:rPr>
      </w:pPr>
      <w:r w:rsidRPr="006944AD">
        <w:rPr>
          <w:rFonts w:cstheme="minorHAnsi"/>
        </w:rPr>
        <w:t xml:space="preserve">Administer over 60 minutes via an infusion pump. </w:t>
      </w:r>
    </w:p>
    <w:p w14:paraId="3C14B86A" w14:textId="75B6EA84" w:rsidR="00C5691B" w:rsidRPr="002B672B" w:rsidRDefault="00F02905" w:rsidP="00E17E34">
      <w:pPr>
        <w:pStyle w:val="ListParagraph"/>
        <w:numPr>
          <w:ilvl w:val="0"/>
          <w:numId w:val="3"/>
        </w:numPr>
        <w:spacing w:after="0"/>
        <w:rPr>
          <w:rFonts w:cstheme="minorHAnsi"/>
        </w:rPr>
      </w:pPr>
      <w:r w:rsidRPr="002B672B">
        <w:rPr>
          <w:rFonts w:cstheme="minorHAnsi"/>
        </w:rPr>
        <w:t>Tocilizumab should not be infused concomitantly in the same IV line with other medications</w:t>
      </w:r>
    </w:p>
    <w:p w14:paraId="1063B213" w14:textId="20CB47A7" w:rsidR="00F02905" w:rsidRPr="002B672B" w:rsidRDefault="00C5691B" w:rsidP="002146A9">
      <w:pPr>
        <w:spacing w:after="0"/>
        <w:rPr>
          <w:rFonts w:cstheme="minorHAnsi"/>
          <w:b/>
        </w:rPr>
      </w:pPr>
      <w:r w:rsidRPr="002B672B">
        <w:rPr>
          <w:rFonts w:cstheme="minorHAnsi"/>
          <w:b/>
        </w:rPr>
        <w:t>Sarilumab</w:t>
      </w:r>
    </w:p>
    <w:p w14:paraId="4E90B423" w14:textId="4BB26E4E" w:rsidR="00C5691B" w:rsidRPr="002B672B" w:rsidRDefault="00C5691B" w:rsidP="00C5691B">
      <w:pPr>
        <w:pStyle w:val="ListParagraph"/>
        <w:numPr>
          <w:ilvl w:val="0"/>
          <w:numId w:val="6"/>
        </w:numPr>
        <w:spacing w:after="0"/>
        <w:rPr>
          <w:rFonts w:cstheme="minorHAnsi"/>
        </w:rPr>
      </w:pPr>
      <w:r w:rsidRPr="002B672B">
        <w:rPr>
          <w:rFonts w:cstheme="minorHAnsi"/>
        </w:rPr>
        <w:t xml:space="preserve">The recommended dose of sarilumab is </w:t>
      </w:r>
      <w:r w:rsidR="00A11729" w:rsidRPr="002B672B">
        <w:rPr>
          <w:rFonts w:cstheme="minorHAnsi"/>
        </w:rPr>
        <w:t xml:space="preserve">always </w:t>
      </w:r>
      <w:r w:rsidRPr="002B672B">
        <w:rPr>
          <w:rFonts w:cstheme="minorHAnsi"/>
        </w:rPr>
        <w:t xml:space="preserve">400mg IV as a </w:t>
      </w:r>
      <w:r w:rsidRPr="002B672B">
        <w:rPr>
          <w:rFonts w:cstheme="minorHAnsi"/>
          <w:u w:val="single"/>
        </w:rPr>
        <w:t>single</w:t>
      </w:r>
      <w:r w:rsidR="00A11729" w:rsidRPr="002B672B">
        <w:rPr>
          <w:rFonts w:cstheme="minorHAnsi"/>
        </w:rPr>
        <w:t xml:space="preserve"> dose</w:t>
      </w:r>
    </w:p>
    <w:p w14:paraId="02E20645" w14:textId="43C084C6" w:rsidR="00A11729" w:rsidRPr="002B672B" w:rsidRDefault="00A11729" w:rsidP="00A11729">
      <w:pPr>
        <w:pStyle w:val="ListParagraph"/>
        <w:numPr>
          <w:ilvl w:val="0"/>
          <w:numId w:val="6"/>
        </w:numPr>
        <w:spacing w:after="0"/>
        <w:rPr>
          <w:rFonts w:cstheme="minorHAnsi"/>
        </w:rPr>
      </w:pPr>
      <w:r w:rsidRPr="002B672B">
        <w:rPr>
          <w:rFonts w:cstheme="minorHAnsi"/>
        </w:rPr>
        <w:t xml:space="preserve">There are </w:t>
      </w:r>
      <w:r w:rsidRPr="002B672B">
        <w:rPr>
          <w:rFonts w:cstheme="minorHAnsi"/>
          <w:u w:val="single"/>
        </w:rPr>
        <w:t>no</w:t>
      </w:r>
      <w:r w:rsidRPr="002B672B">
        <w:rPr>
          <w:rFonts w:cstheme="minorHAnsi"/>
        </w:rPr>
        <w:t xml:space="preserve"> dose adjustments with respect to extremes of body weight</w:t>
      </w:r>
    </w:p>
    <w:p w14:paraId="71A65B2B" w14:textId="3C37F2F9" w:rsidR="00C5691B" w:rsidRPr="002B672B" w:rsidRDefault="00C5691B" w:rsidP="00C5691B">
      <w:pPr>
        <w:pStyle w:val="ListParagraph"/>
        <w:numPr>
          <w:ilvl w:val="0"/>
          <w:numId w:val="6"/>
        </w:numPr>
        <w:spacing w:after="0"/>
        <w:rPr>
          <w:rFonts w:cstheme="minorHAnsi"/>
        </w:rPr>
      </w:pPr>
      <w:r w:rsidRPr="002B672B">
        <w:rPr>
          <w:rFonts w:cstheme="minorHAnsi"/>
        </w:rPr>
        <w:t>2 x 200mg pre-filled syringes should be added to 100mL sodium chloride 0.9% and the infusion bag inverted at least 10 times to ensure mixing</w:t>
      </w:r>
      <w:r w:rsidR="00F16CBB" w:rsidRPr="002B672B">
        <w:rPr>
          <w:rStyle w:val="FootnoteReference"/>
          <w:rFonts w:cstheme="minorHAnsi"/>
        </w:rPr>
        <w:footnoteReference w:id="3"/>
      </w:r>
    </w:p>
    <w:p w14:paraId="58C4732B" w14:textId="77777777" w:rsidR="00D10B5B" w:rsidRPr="002B672B" w:rsidRDefault="00F16CBB" w:rsidP="00D10B5B">
      <w:pPr>
        <w:pStyle w:val="ListParagraph"/>
        <w:numPr>
          <w:ilvl w:val="0"/>
          <w:numId w:val="6"/>
        </w:numPr>
        <w:spacing w:after="0"/>
        <w:rPr>
          <w:rFonts w:cstheme="minorHAnsi"/>
        </w:rPr>
      </w:pPr>
      <w:r w:rsidRPr="002B672B">
        <w:rPr>
          <w:rFonts w:cstheme="minorHAnsi"/>
        </w:rPr>
        <w:t>Administer using a low pr</w:t>
      </w:r>
      <w:r w:rsidR="00D10B5B" w:rsidRPr="002B672B">
        <w:rPr>
          <w:rFonts w:cstheme="minorHAnsi"/>
        </w:rPr>
        <w:t>otein-binding 0.2micron filter</w:t>
      </w:r>
    </w:p>
    <w:p w14:paraId="16B079A8" w14:textId="55ACDDFC" w:rsidR="00F16CBB" w:rsidRPr="002B672B" w:rsidRDefault="00D10B5B" w:rsidP="00D10B5B">
      <w:pPr>
        <w:pStyle w:val="ListParagraph"/>
        <w:numPr>
          <w:ilvl w:val="1"/>
          <w:numId w:val="6"/>
        </w:numPr>
        <w:spacing w:after="0"/>
        <w:rPr>
          <w:rFonts w:cstheme="minorHAnsi"/>
        </w:rPr>
      </w:pPr>
      <w:r w:rsidRPr="002B672B">
        <w:rPr>
          <w:rFonts w:cstheme="minorHAnsi"/>
        </w:rPr>
        <w:t xml:space="preserve">At RSCH/PRH: </w:t>
      </w:r>
      <w:r w:rsidR="00F16CBB" w:rsidRPr="002B672B">
        <w:rPr>
          <w:rFonts w:cstheme="minorHAnsi"/>
        </w:rPr>
        <w:t>these are available from pharmacy and should be di</w:t>
      </w:r>
      <w:r w:rsidRPr="002B672B">
        <w:rPr>
          <w:rFonts w:cstheme="minorHAnsi"/>
        </w:rPr>
        <w:t xml:space="preserve">spensed with Sarilumab syringes. </w:t>
      </w:r>
      <w:r w:rsidR="00F16CBB" w:rsidRPr="002B672B">
        <w:rPr>
          <w:rFonts w:cstheme="minorHAnsi"/>
          <w:b/>
        </w:rPr>
        <w:t>Note for pharmacy</w:t>
      </w:r>
      <w:r w:rsidR="00F16CBB" w:rsidRPr="002B672B">
        <w:rPr>
          <w:rFonts w:cstheme="minorHAnsi"/>
        </w:rPr>
        <w:t xml:space="preserve">: the filters are profiled on WellSky as </w:t>
      </w:r>
      <w:r w:rsidR="00936CE7" w:rsidRPr="002B672B">
        <w:rPr>
          <w:rFonts w:cstheme="minorHAnsi"/>
        </w:rPr>
        <w:t>‘</w:t>
      </w:r>
      <w:r w:rsidR="00F16CBB" w:rsidRPr="002B672B">
        <w:rPr>
          <w:rFonts w:cstheme="minorHAnsi"/>
        </w:rPr>
        <w:t>Paclitaxel Pump Admin Set</w:t>
      </w:r>
      <w:r w:rsidR="00936CE7" w:rsidRPr="002B672B">
        <w:rPr>
          <w:rFonts w:cstheme="minorHAnsi"/>
        </w:rPr>
        <w:t xml:space="preserve"> or Infliximab Filter 0.2 microns’</w:t>
      </w:r>
    </w:p>
    <w:p w14:paraId="0BFA215B" w14:textId="7C562AAC" w:rsidR="00D10B5B" w:rsidRPr="002B672B" w:rsidRDefault="00D10B5B" w:rsidP="00D10B5B">
      <w:pPr>
        <w:pStyle w:val="ListParagraph"/>
        <w:numPr>
          <w:ilvl w:val="1"/>
          <w:numId w:val="6"/>
        </w:numPr>
        <w:spacing w:after="0"/>
        <w:rPr>
          <w:rFonts w:cstheme="minorHAnsi"/>
        </w:rPr>
      </w:pPr>
      <w:r w:rsidRPr="002B672B">
        <w:rPr>
          <w:rFonts w:cstheme="minorHAnsi"/>
        </w:rPr>
        <w:t>At Worthing/SRH these are available on the wards at Worthing/SRH</w:t>
      </w:r>
      <w:r w:rsidR="00621A16" w:rsidRPr="002B672B">
        <w:rPr>
          <w:rFonts w:cstheme="minorHAnsi"/>
        </w:rPr>
        <w:t xml:space="preserve"> from medicines management</w:t>
      </w:r>
    </w:p>
    <w:p w14:paraId="08638A7B" w14:textId="305C6920" w:rsidR="00C5691B" w:rsidRPr="002B672B" w:rsidRDefault="00C5691B" w:rsidP="00C5691B">
      <w:pPr>
        <w:pStyle w:val="ListParagraph"/>
        <w:numPr>
          <w:ilvl w:val="0"/>
          <w:numId w:val="6"/>
        </w:numPr>
        <w:spacing w:after="0"/>
        <w:rPr>
          <w:rFonts w:cstheme="minorHAnsi"/>
        </w:rPr>
      </w:pPr>
      <w:r w:rsidRPr="002B672B">
        <w:rPr>
          <w:rFonts w:cstheme="minorHAnsi"/>
        </w:rPr>
        <w:t>Initial infusion rate should be 10mL/hour for first 15 minutes then 130mL/hour for the remaining 45 minutes (total infusion time = 1 hour)</w:t>
      </w:r>
    </w:p>
    <w:p w14:paraId="0B919353" w14:textId="77777777" w:rsidR="008D22DF" w:rsidRPr="002B672B" w:rsidRDefault="00C5691B" w:rsidP="008D22DF">
      <w:pPr>
        <w:pStyle w:val="ListParagraph"/>
        <w:numPr>
          <w:ilvl w:val="0"/>
          <w:numId w:val="6"/>
        </w:numPr>
        <w:rPr>
          <w:rFonts w:cstheme="minorHAnsi"/>
        </w:rPr>
      </w:pPr>
      <w:r w:rsidRPr="002B672B">
        <w:rPr>
          <w:rFonts w:cstheme="minorHAnsi"/>
        </w:rPr>
        <w:t>Sarilumab should not be infused concomitantly in the same IV line with other medications</w:t>
      </w:r>
    </w:p>
    <w:p w14:paraId="4FD2FCAC" w14:textId="77777777" w:rsidR="00655C17" w:rsidRPr="002B672B" w:rsidRDefault="00655C17" w:rsidP="00F923B3">
      <w:pPr>
        <w:rPr>
          <w:rFonts w:cstheme="minorHAnsi"/>
          <w:b/>
        </w:rPr>
      </w:pPr>
    </w:p>
    <w:p w14:paraId="4EBC4B62" w14:textId="7A8A14C7" w:rsidR="00F923B3" w:rsidRPr="002B672B" w:rsidRDefault="00F923B3" w:rsidP="00F923B3">
      <w:pPr>
        <w:rPr>
          <w:rFonts w:cstheme="minorHAnsi"/>
        </w:rPr>
      </w:pPr>
      <w:r w:rsidRPr="002B672B">
        <w:rPr>
          <w:rFonts w:cstheme="minorHAnsi"/>
          <w:b/>
        </w:rPr>
        <w:lastRenderedPageBreak/>
        <w:t xml:space="preserve">IL-6 inhibitors should not be prepared </w:t>
      </w:r>
      <w:r w:rsidR="009F3339" w:rsidRPr="002B672B">
        <w:rPr>
          <w:rFonts w:cstheme="minorHAnsi"/>
          <w:b/>
        </w:rPr>
        <w:t xml:space="preserve">or administered </w:t>
      </w:r>
      <w:r w:rsidRPr="002B672B">
        <w:rPr>
          <w:rFonts w:cstheme="minorHAnsi"/>
          <w:b/>
        </w:rPr>
        <w:t>by pregnant members of staff or those of childbearing potential who are act</w:t>
      </w:r>
      <w:r w:rsidR="009F3339" w:rsidRPr="002B672B">
        <w:rPr>
          <w:rFonts w:cstheme="minorHAnsi"/>
          <w:b/>
        </w:rPr>
        <w:t>ively trying to conceive.</w:t>
      </w:r>
      <w:r w:rsidR="009F3339" w:rsidRPr="002B672B">
        <w:rPr>
          <w:rFonts w:cstheme="minorHAnsi"/>
        </w:rPr>
        <w:t xml:space="preserve"> A disposable apron, gloves,</w:t>
      </w:r>
      <w:r w:rsidR="00936CE7" w:rsidRPr="002B672B">
        <w:rPr>
          <w:rFonts w:cstheme="minorHAnsi"/>
        </w:rPr>
        <w:t xml:space="preserve"> FFP3 mask</w:t>
      </w:r>
      <w:r w:rsidR="009F3339" w:rsidRPr="002B672B">
        <w:rPr>
          <w:rFonts w:cstheme="minorHAnsi"/>
        </w:rPr>
        <w:t xml:space="preserve"> and eye protection should be worn when preparing and administering. </w:t>
      </w:r>
    </w:p>
    <w:p w14:paraId="50EAE7B3" w14:textId="77777777" w:rsidR="009950D2" w:rsidRPr="002B672B" w:rsidRDefault="009950D2" w:rsidP="008D22DF">
      <w:pPr>
        <w:rPr>
          <w:rFonts w:cstheme="minorHAnsi"/>
        </w:rPr>
      </w:pPr>
      <w:r w:rsidRPr="002B672B">
        <w:rPr>
          <w:rFonts w:cstheme="minorHAnsi"/>
        </w:rPr>
        <w:t>In order to improve the traceability of biological medicines, the batch number should be recorded.</w:t>
      </w:r>
    </w:p>
    <w:p w14:paraId="42A28113" w14:textId="77777777" w:rsidR="002146A9" w:rsidRPr="002B672B" w:rsidRDefault="002146A9" w:rsidP="002146A9">
      <w:pPr>
        <w:spacing w:after="0"/>
        <w:rPr>
          <w:rFonts w:cstheme="minorHAnsi"/>
          <w:b/>
        </w:rPr>
      </w:pPr>
    </w:p>
    <w:p w14:paraId="6C344559" w14:textId="5E88D6BA" w:rsidR="00655C17" w:rsidRPr="002B672B" w:rsidRDefault="002146A9" w:rsidP="002146A9">
      <w:pPr>
        <w:spacing w:after="0"/>
        <w:rPr>
          <w:rFonts w:cstheme="minorHAnsi"/>
          <w:b/>
        </w:rPr>
      </w:pPr>
      <w:r w:rsidRPr="002B672B">
        <w:rPr>
          <w:rFonts w:cstheme="minorHAnsi"/>
          <w:b/>
        </w:rPr>
        <w:t>Baricitinib</w:t>
      </w:r>
    </w:p>
    <w:p w14:paraId="34FA4E17" w14:textId="666DD876" w:rsidR="002146A9" w:rsidRPr="002B672B" w:rsidRDefault="002146A9" w:rsidP="002146A9">
      <w:pPr>
        <w:pStyle w:val="ListParagraph"/>
        <w:numPr>
          <w:ilvl w:val="0"/>
          <w:numId w:val="31"/>
        </w:numPr>
        <w:rPr>
          <w:rFonts w:cstheme="minorHAnsi"/>
          <w:b/>
        </w:rPr>
      </w:pPr>
      <w:r w:rsidRPr="002B672B">
        <w:rPr>
          <w:rFonts w:cstheme="minorHAnsi"/>
        </w:rPr>
        <w:t>eGFR/CrCl &gt; 60 mL/min - 4mg once daily orally for 10 days (or until discharge if sooner)</w:t>
      </w:r>
    </w:p>
    <w:p w14:paraId="1DB2236E" w14:textId="12C9FBDD" w:rsidR="002146A9" w:rsidRPr="002B672B" w:rsidRDefault="002146A9" w:rsidP="002146A9">
      <w:pPr>
        <w:pStyle w:val="ListParagraph"/>
        <w:numPr>
          <w:ilvl w:val="0"/>
          <w:numId w:val="31"/>
        </w:numPr>
        <w:rPr>
          <w:rFonts w:cstheme="minorHAnsi"/>
          <w:b/>
        </w:rPr>
      </w:pPr>
      <w:r w:rsidRPr="002B672B">
        <w:rPr>
          <w:rFonts w:cstheme="minorHAnsi"/>
        </w:rPr>
        <w:t>eGFR/CrCl</w:t>
      </w:r>
      <w:r w:rsidR="00411C9B" w:rsidRPr="002B672B">
        <w:rPr>
          <w:rFonts w:cstheme="minorHAnsi"/>
        </w:rPr>
        <w:t xml:space="preserve"> 30 to</w:t>
      </w:r>
      <w:r w:rsidRPr="002B672B">
        <w:rPr>
          <w:rFonts w:cstheme="minorHAnsi"/>
        </w:rPr>
        <w:t xml:space="preserve"> 60 mL/min - 2mg once daily orally for 10 days (or until discharge if sooner)</w:t>
      </w:r>
    </w:p>
    <w:p w14:paraId="4C13AC45" w14:textId="2FA273C8" w:rsidR="002146A9" w:rsidRPr="002B672B" w:rsidRDefault="002146A9" w:rsidP="002146A9">
      <w:pPr>
        <w:pStyle w:val="ListParagraph"/>
        <w:numPr>
          <w:ilvl w:val="0"/>
          <w:numId w:val="31"/>
        </w:numPr>
        <w:rPr>
          <w:rFonts w:cstheme="minorHAnsi"/>
          <w:b/>
        </w:rPr>
      </w:pPr>
      <w:r w:rsidRPr="002B672B">
        <w:rPr>
          <w:rFonts w:cstheme="minorHAnsi"/>
        </w:rPr>
        <w:t>eGFR/CrCl</w:t>
      </w:r>
      <w:r w:rsidR="00411C9B" w:rsidRPr="002B672B">
        <w:rPr>
          <w:rFonts w:cstheme="minorHAnsi"/>
        </w:rPr>
        <w:t xml:space="preserve"> 15 to </w:t>
      </w:r>
      <w:r w:rsidRPr="002B672B">
        <w:rPr>
          <w:rFonts w:cstheme="minorHAnsi"/>
        </w:rPr>
        <w:t xml:space="preserve">30 mL/min - 2mg </w:t>
      </w:r>
      <w:r w:rsidR="009325D5" w:rsidRPr="002B672B">
        <w:rPr>
          <w:rFonts w:cstheme="minorHAnsi"/>
        </w:rPr>
        <w:t>o</w:t>
      </w:r>
      <w:r w:rsidRPr="002B672B">
        <w:rPr>
          <w:rFonts w:cstheme="minorHAnsi"/>
        </w:rPr>
        <w:t>n alternate days orally for 10 days (or until discharge if sooner)</w:t>
      </w:r>
    </w:p>
    <w:p w14:paraId="7782B87F" w14:textId="1F16140A" w:rsidR="002146A9" w:rsidRPr="002B672B" w:rsidRDefault="002146A9" w:rsidP="002146A9">
      <w:pPr>
        <w:pStyle w:val="ListParagraph"/>
        <w:numPr>
          <w:ilvl w:val="0"/>
          <w:numId w:val="31"/>
        </w:numPr>
        <w:rPr>
          <w:rFonts w:cstheme="minorHAnsi"/>
          <w:b/>
        </w:rPr>
      </w:pPr>
      <w:r w:rsidRPr="002B672B">
        <w:rPr>
          <w:rFonts w:cstheme="minorHAnsi"/>
        </w:rPr>
        <w:t>Baricitinib may be taken at any time</w:t>
      </w:r>
      <w:r w:rsidR="001250DF" w:rsidRPr="002B672B">
        <w:rPr>
          <w:rFonts w:cstheme="minorHAnsi"/>
        </w:rPr>
        <w:t xml:space="preserve"> of the day</w:t>
      </w:r>
      <w:r w:rsidRPr="002B672B">
        <w:rPr>
          <w:rFonts w:cstheme="minorHAnsi"/>
        </w:rPr>
        <w:t>, it is recommended that it continues to be taken at the same time each day</w:t>
      </w:r>
    </w:p>
    <w:p w14:paraId="4F5F2F36" w14:textId="35B550C3" w:rsidR="002146A9" w:rsidRPr="002B672B" w:rsidRDefault="002146A9" w:rsidP="002146A9">
      <w:pPr>
        <w:rPr>
          <w:rFonts w:cstheme="minorHAnsi"/>
          <w:b/>
        </w:rPr>
      </w:pPr>
      <w:r w:rsidRPr="002B672B">
        <w:rPr>
          <w:rFonts w:cstheme="minorHAnsi"/>
          <w:b/>
        </w:rPr>
        <w:t>Remdesivir</w:t>
      </w:r>
    </w:p>
    <w:tbl>
      <w:tblPr>
        <w:tblStyle w:val="TableGrid"/>
        <w:tblW w:w="0" w:type="auto"/>
        <w:tblLook w:val="04A0" w:firstRow="1" w:lastRow="0" w:firstColumn="1" w:lastColumn="0" w:noHBand="0" w:noVBand="1"/>
      </w:tblPr>
      <w:tblGrid>
        <w:gridCol w:w="1129"/>
        <w:gridCol w:w="1560"/>
        <w:gridCol w:w="1559"/>
        <w:gridCol w:w="2126"/>
        <w:gridCol w:w="2642"/>
      </w:tblGrid>
      <w:tr w:rsidR="002146A9" w:rsidRPr="002B672B" w14:paraId="5229DE94" w14:textId="77777777" w:rsidTr="00971EFA">
        <w:tc>
          <w:tcPr>
            <w:tcW w:w="1129" w:type="dxa"/>
          </w:tcPr>
          <w:p w14:paraId="1AE8F72C" w14:textId="77777777" w:rsidR="002146A9" w:rsidRPr="002B672B" w:rsidRDefault="002146A9" w:rsidP="00971EFA">
            <w:pPr>
              <w:spacing w:line="0" w:lineRule="atLeast"/>
              <w:rPr>
                <w:rFonts w:cstheme="minorHAnsi"/>
                <w:b/>
              </w:rPr>
            </w:pPr>
          </w:p>
        </w:tc>
        <w:tc>
          <w:tcPr>
            <w:tcW w:w="1560" w:type="dxa"/>
          </w:tcPr>
          <w:p w14:paraId="765F0329" w14:textId="77777777" w:rsidR="002146A9" w:rsidRPr="002B672B" w:rsidRDefault="002146A9" w:rsidP="00971EFA">
            <w:pPr>
              <w:spacing w:line="0" w:lineRule="atLeast"/>
              <w:rPr>
                <w:rFonts w:cstheme="minorHAnsi"/>
                <w:b/>
              </w:rPr>
            </w:pPr>
            <w:r w:rsidRPr="002B672B">
              <w:rPr>
                <w:rFonts w:cstheme="minorHAnsi"/>
                <w:b/>
              </w:rPr>
              <w:t>Loading Dose</w:t>
            </w:r>
          </w:p>
        </w:tc>
        <w:tc>
          <w:tcPr>
            <w:tcW w:w="1559" w:type="dxa"/>
          </w:tcPr>
          <w:p w14:paraId="3609343B" w14:textId="77777777" w:rsidR="002146A9" w:rsidRPr="002B672B" w:rsidRDefault="002146A9" w:rsidP="00971EFA">
            <w:pPr>
              <w:spacing w:line="0" w:lineRule="atLeast"/>
              <w:rPr>
                <w:rFonts w:cstheme="minorHAnsi"/>
                <w:b/>
              </w:rPr>
            </w:pPr>
            <w:r w:rsidRPr="002B672B">
              <w:rPr>
                <w:rFonts w:cstheme="minorHAnsi"/>
                <w:b/>
              </w:rPr>
              <w:t>Maintenance Dose</w:t>
            </w:r>
          </w:p>
        </w:tc>
        <w:tc>
          <w:tcPr>
            <w:tcW w:w="2126" w:type="dxa"/>
          </w:tcPr>
          <w:p w14:paraId="1A258A7C" w14:textId="77777777" w:rsidR="002146A9" w:rsidRPr="002B672B" w:rsidRDefault="002146A9" w:rsidP="00971EFA">
            <w:pPr>
              <w:spacing w:line="0" w:lineRule="atLeast"/>
              <w:rPr>
                <w:rFonts w:cstheme="minorHAnsi"/>
                <w:b/>
              </w:rPr>
            </w:pPr>
            <w:r w:rsidRPr="002B672B">
              <w:rPr>
                <w:rFonts w:cstheme="minorHAnsi"/>
                <w:b/>
              </w:rPr>
              <w:t>Number of days Treatment</w:t>
            </w:r>
          </w:p>
        </w:tc>
        <w:tc>
          <w:tcPr>
            <w:tcW w:w="2642" w:type="dxa"/>
          </w:tcPr>
          <w:p w14:paraId="2D3E82BA" w14:textId="77777777" w:rsidR="002146A9" w:rsidRPr="002B672B" w:rsidRDefault="002146A9" w:rsidP="00971EFA">
            <w:pPr>
              <w:spacing w:line="0" w:lineRule="atLeast"/>
              <w:rPr>
                <w:rFonts w:cstheme="minorHAnsi"/>
                <w:b/>
              </w:rPr>
            </w:pPr>
            <w:r w:rsidRPr="002B672B">
              <w:rPr>
                <w:rFonts w:cstheme="minorHAnsi"/>
                <w:b/>
              </w:rPr>
              <w:t>Other</w:t>
            </w:r>
          </w:p>
        </w:tc>
      </w:tr>
      <w:tr w:rsidR="002146A9" w:rsidRPr="002B672B" w14:paraId="40B57290" w14:textId="77777777" w:rsidTr="00971EFA">
        <w:trPr>
          <w:trHeight w:val="1779"/>
        </w:trPr>
        <w:tc>
          <w:tcPr>
            <w:tcW w:w="1129" w:type="dxa"/>
          </w:tcPr>
          <w:p w14:paraId="2B4CB8C5" w14:textId="77777777" w:rsidR="002146A9" w:rsidRPr="002B672B" w:rsidRDefault="002146A9" w:rsidP="00971EFA">
            <w:pPr>
              <w:spacing w:line="0" w:lineRule="atLeast"/>
              <w:rPr>
                <w:rFonts w:cstheme="minorHAnsi"/>
                <w:b/>
              </w:rPr>
            </w:pPr>
            <w:r w:rsidRPr="002B672B">
              <w:rPr>
                <w:rFonts w:cstheme="minorHAnsi"/>
                <w:b/>
              </w:rPr>
              <w:t>Group 1</w:t>
            </w:r>
          </w:p>
        </w:tc>
        <w:tc>
          <w:tcPr>
            <w:tcW w:w="1560" w:type="dxa"/>
          </w:tcPr>
          <w:p w14:paraId="395931B6" w14:textId="77777777" w:rsidR="002146A9" w:rsidRPr="002B672B" w:rsidRDefault="002146A9" w:rsidP="00971EFA">
            <w:pPr>
              <w:spacing w:line="0" w:lineRule="atLeast"/>
              <w:rPr>
                <w:rFonts w:cstheme="minorHAnsi"/>
              </w:rPr>
            </w:pPr>
            <w:r w:rsidRPr="002B672B">
              <w:rPr>
                <w:rFonts w:cstheme="minorHAnsi"/>
              </w:rPr>
              <w:t>200mg on day 1</w:t>
            </w:r>
          </w:p>
        </w:tc>
        <w:tc>
          <w:tcPr>
            <w:tcW w:w="1559" w:type="dxa"/>
          </w:tcPr>
          <w:p w14:paraId="2DD4EC49" w14:textId="77777777" w:rsidR="002146A9" w:rsidRPr="002B672B" w:rsidRDefault="002146A9" w:rsidP="00971EFA">
            <w:pPr>
              <w:spacing w:line="0" w:lineRule="atLeast"/>
              <w:rPr>
                <w:rFonts w:cstheme="minorHAnsi"/>
              </w:rPr>
            </w:pPr>
            <w:r w:rsidRPr="002B672B">
              <w:rPr>
                <w:rFonts w:cstheme="minorHAnsi"/>
              </w:rPr>
              <w:t>100mg OD on days 2 – 5</w:t>
            </w:r>
          </w:p>
        </w:tc>
        <w:tc>
          <w:tcPr>
            <w:tcW w:w="2126" w:type="dxa"/>
          </w:tcPr>
          <w:p w14:paraId="5C7965D7" w14:textId="77777777" w:rsidR="002146A9" w:rsidRPr="002B672B" w:rsidRDefault="002146A9" w:rsidP="00971EFA">
            <w:pPr>
              <w:spacing w:line="0" w:lineRule="atLeast"/>
              <w:rPr>
                <w:rFonts w:cstheme="minorHAnsi"/>
              </w:rPr>
            </w:pPr>
            <w:r w:rsidRPr="002B672B">
              <w:rPr>
                <w:rFonts w:cstheme="minorHAnsi"/>
              </w:rPr>
              <w:t>5 days</w:t>
            </w:r>
          </w:p>
        </w:tc>
        <w:tc>
          <w:tcPr>
            <w:tcW w:w="2642" w:type="dxa"/>
          </w:tcPr>
          <w:p w14:paraId="3844C139" w14:textId="77777777" w:rsidR="002146A9" w:rsidRPr="002B672B" w:rsidRDefault="002146A9" w:rsidP="00971EFA">
            <w:pPr>
              <w:spacing w:line="0" w:lineRule="atLeast"/>
              <w:rPr>
                <w:rFonts w:cstheme="minorHAnsi"/>
              </w:rPr>
            </w:pPr>
            <w:r w:rsidRPr="002B672B">
              <w:rPr>
                <w:rFonts w:cstheme="minorHAnsi"/>
              </w:rPr>
              <w:t>May be extended to a maximum of 10 days in significantly immunocompromised</w:t>
            </w:r>
            <w:r w:rsidRPr="002B672B">
              <w:rPr>
                <w:rFonts w:cstheme="minorHAnsi"/>
                <w:vertAlign w:val="superscript"/>
              </w:rPr>
              <w:t>1</w:t>
            </w:r>
            <w:r w:rsidRPr="002B672B">
              <w:rPr>
                <w:rFonts w:cstheme="minorHAnsi"/>
              </w:rPr>
              <w:t xml:space="preserve"> patients following discussion with the MDT</w:t>
            </w:r>
          </w:p>
        </w:tc>
      </w:tr>
    </w:tbl>
    <w:p w14:paraId="6685206B" w14:textId="2E3DA32C" w:rsidR="002146A9" w:rsidRPr="002B672B" w:rsidRDefault="002146A9" w:rsidP="002146A9">
      <w:pPr>
        <w:rPr>
          <w:rFonts w:cstheme="minorHAnsi"/>
          <w:b/>
        </w:rPr>
      </w:pPr>
    </w:p>
    <w:p w14:paraId="4FC4EC51" w14:textId="3F3E5264" w:rsidR="005A3356" w:rsidRPr="002B672B" w:rsidRDefault="005A3356" w:rsidP="002146A9">
      <w:pPr>
        <w:spacing w:line="238" w:lineRule="auto"/>
        <w:rPr>
          <w:rFonts w:cstheme="minorHAnsi"/>
          <w:b/>
        </w:rPr>
      </w:pPr>
    </w:p>
    <w:p w14:paraId="412313CC" w14:textId="52BA4A65" w:rsidR="002146A9" w:rsidRPr="002B672B" w:rsidRDefault="002146A9" w:rsidP="002146A9">
      <w:pPr>
        <w:spacing w:line="238" w:lineRule="auto"/>
        <w:rPr>
          <w:rFonts w:cstheme="minorHAnsi"/>
          <w:b/>
        </w:rPr>
      </w:pPr>
      <w:r w:rsidRPr="002B672B">
        <w:rPr>
          <w:rFonts w:cstheme="minorHAnsi"/>
          <w:b/>
        </w:rPr>
        <w:t>Reassessment and Review Remdesivir</w:t>
      </w:r>
    </w:p>
    <w:p w14:paraId="79BB5BB6" w14:textId="77777777" w:rsidR="002146A9" w:rsidRPr="002B672B" w:rsidRDefault="002146A9" w:rsidP="002146A9">
      <w:pPr>
        <w:spacing w:line="238" w:lineRule="auto"/>
        <w:rPr>
          <w:rFonts w:cstheme="minorHAnsi"/>
        </w:rPr>
      </w:pPr>
      <w:r w:rsidRPr="002B672B">
        <w:rPr>
          <w:rFonts w:cstheme="minorHAnsi"/>
        </w:rPr>
        <w:t xml:space="preserve">The use of remdesivir should be </w:t>
      </w:r>
      <w:r w:rsidRPr="002B672B">
        <w:rPr>
          <w:rFonts w:cstheme="minorHAnsi"/>
          <w:b/>
        </w:rPr>
        <w:t>reassessed daily</w:t>
      </w:r>
      <w:r w:rsidRPr="002B672B">
        <w:rPr>
          <w:rFonts w:cstheme="minorHAnsi"/>
        </w:rPr>
        <w:t>. Consider stopping remdesivir if:</w:t>
      </w:r>
    </w:p>
    <w:p w14:paraId="23BA56D2" w14:textId="06407B74" w:rsidR="002146A9" w:rsidRPr="002B672B" w:rsidRDefault="002146A9" w:rsidP="002146A9">
      <w:pPr>
        <w:numPr>
          <w:ilvl w:val="0"/>
          <w:numId w:val="33"/>
        </w:numPr>
        <w:spacing w:after="0" w:line="238" w:lineRule="auto"/>
        <w:ind w:left="720"/>
        <w:rPr>
          <w:rFonts w:cstheme="minorHAnsi"/>
        </w:rPr>
      </w:pPr>
      <w:r w:rsidRPr="002B672B">
        <w:rPr>
          <w:rFonts w:cstheme="minorHAnsi"/>
        </w:rPr>
        <w:t>The patient clinically improves and no longer requires supplemental oxygen 72 hours after commencement of remdesivir</w:t>
      </w:r>
    </w:p>
    <w:p w14:paraId="53D039F1" w14:textId="72CCC2AA" w:rsidR="002146A9" w:rsidRPr="002B672B" w:rsidRDefault="002146A9" w:rsidP="002146A9">
      <w:pPr>
        <w:numPr>
          <w:ilvl w:val="0"/>
          <w:numId w:val="33"/>
        </w:numPr>
        <w:spacing w:after="0" w:line="238" w:lineRule="auto"/>
        <w:ind w:left="720"/>
        <w:rPr>
          <w:rFonts w:cstheme="minorHAnsi"/>
        </w:rPr>
      </w:pPr>
      <w:r w:rsidRPr="002B672B">
        <w:rPr>
          <w:rFonts w:cstheme="minorHAnsi"/>
        </w:rPr>
        <w:t>The patient continues to deteriorate despite 48 hours of sustained mechanical ventilation</w:t>
      </w:r>
    </w:p>
    <w:p w14:paraId="764BA425" w14:textId="77777777" w:rsidR="002146A9" w:rsidRPr="002B672B" w:rsidRDefault="002146A9" w:rsidP="002146A9">
      <w:pPr>
        <w:spacing w:line="0" w:lineRule="atLeast"/>
        <w:rPr>
          <w:rFonts w:cstheme="minorHAnsi"/>
          <w:b/>
        </w:rPr>
      </w:pPr>
    </w:p>
    <w:p w14:paraId="4EE5183A" w14:textId="76E92980" w:rsidR="002146A9" w:rsidRPr="002B672B" w:rsidRDefault="002146A9" w:rsidP="002146A9">
      <w:pPr>
        <w:spacing w:line="0" w:lineRule="atLeast"/>
        <w:rPr>
          <w:rFonts w:cstheme="minorHAnsi"/>
          <w:b/>
        </w:rPr>
      </w:pPr>
      <w:r w:rsidRPr="002B672B">
        <w:rPr>
          <w:rFonts w:cstheme="minorHAnsi"/>
          <w:b/>
        </w:rPr>
        <w:t>Prescribing &amp; Administration Remdesivir</w:t>
      </w:r>
    </w:p>
    <w:p w14:paraId="1FF74340" w14:textId="52BDE0D3" w:rsidR="002146A9" w:rsidRPr="002B672B" w:rsidRDefault="002146A9" w:rsidP="002146A9">
      <w:pPr>
        <w:spacing w:line="218" w:lineRule="auto"/>
        <w:ind w:right="546"/>
        <w:rPr>
          <w:rFonts w:cstheme="minorHAnsi"/>
        </w:rPr>
      </w:pPr>
      <w:r w:rsidRPr="002B672B">
        <w:rPr>
          <w:rFonts w:cstheme="minorHAnsi"/>
        </w:rPr>
        <w:t xml:space="preserve">Two formulations are available for use. </w:t>
      </w:r>
      <w:r w:rsidRPr="002B672B">
        <w:rPr>
          <w:rFonts w:cstheme="minorHAnsi"/>
          <w:b/>
        </w:rPr>
        <w:t>Information on preparation and administration</w:t>
      </w:r>
      <w:r w:rsidRPr="002B672B">
        <w:rPr>
          <w:rFonts w:cstheme="minorHAnsi"/>
        </w:rPr>
        <w:t xml:space="preserve"> can be found on the </w:t>
      </w:r>
      <w:r w:rsidRPr="002B672B">
        <w:rPr>
          <w:rFonts w:cstheme="minorHAnsi"/>
          <w:b/>
        </w:rPr>
        <w:t>Injectable Medicines Guide</w:t>
      </w:r>
      <w:r w:rsidRPr="002B672B">
        <w:rPr>
          <w:rFonts w:cstheme="minorHAnsi"/>
        </w:rPr>
        <w:t xml:space="preserve"> accessed via the Pharmacy homepage on the Trust intranet.</w:t>
      </w:r>
    </w:p>
    <w:tbl>
      <w:tblPr>
        <w:tblStyle w:val="TableGrid"/>
        <w:tblW w:w="0" w:type="auto"/>
        <w:tblLook w:val="04A0" w:firstRow="1" w:lastRow="0" w:firstColumn="1" w:lastColumn="0" w:noHBand="0" w:noVBand="1"/>
      </w:tblPr>
      <w:tblGrid>
        <w:gridCol w:w="2254"/>
        <w:gridCol w:w="2254"/>
        <w:gridCol w:w="2254"/>
        <w:gridCol w:w="2254"/>
      </w:tblGrid>
      <w:tr w:rsidR="002146A9" w:rsidRPr="002B672B" w14:paraId="3FEFD18E" w14:textId="77777777" w:rsidTr="00971EFA">
        <w:tc>
          <w:tcPr>
            <w:tcW w:w="2254" w:type="dxa"/>
          </w:tcPr>
          <w:p w14:paraId="6BDBBDBF" w14:textId="77777777" w:rsidR="002146A9" w:rsidRPr="002B672B" w:rsidRDefault="002146A9" w:rsidP="00971EFA">
            <w:pPr>
              <w:spacing w:line="261" w:lineRule="exact"/>
              <w:rPr>
                <w:rFonts w:cstheme="minorHAnsi"/>
              </w:rPr>
            </w:pPr>
            <w:r w:rsidRPr="002B672B">
              <w:rPr>
                <w:rFonts w:cstheme="minorHAnsi"/>
                <w:b/>
              </w:rPr>
              <w:t>Formulation</w:t>
            </w:r>
          </w:p>
        </w:tc>
        <w:tc>
          <w:tcPr>
            <w:tcW w:w="2254" w:type="dxa"/>
          </w:tcPr>
          <w:p w14:paraId="680B3DDF" w14:textId="77777777" w:rsidR="002146A9" w:rsidRPr="002B672B" w:rsidRDefault="002146A9" w:rsidP="00971EFA">
            <w:pPr>
              <w:spacing w:line="261" w:lineRule="exact"/>
              <w:rPr>
                <w:rFonts w:cstheme="minorHAnsi"/>
              </w:rPr>
            </w:pPr>
            <w:r w:rsidRPr="002B672B">
              <w:rPr>
                <w:rFonts w:cstheme="minorHAnsi"/>
                <w:b/>
              </w:rPr>
              <w:t>Infusion fluid</w:t>
            </w:r>
          </w:p>
        </w:tc>
        <w:tc>
          <w:tcPr>
            <w:tcW w:w="2254" w:type="dxa"/>
          </w:tcPr>
          <w:p w14:paraId="12518D06" w14:textId="77777777" w:rsidR="002146A9" w:rsidRPr="002B672B" w:rsidRDefault="002146A9" w:rsidP="00971EFA">
            <w:pPr>
              <w:spacing w:line="261" w:lineRule="exact"/>
              <w:rPr>
                <w:rFonts w:cstheme="minorHAnsi"/>
              </w:rPr>
            </w:pPr>
            <w:r w:rsidRPr="002B672B">
              <w:rPr>
                <w:rFonts w:cstheme="minorHAnsi"/>
                <w:b/>
              </w:rPr>
              <w:t>Infusion time</w:t>
            </w:r>
          </w:p>
        </w:tc>
        <w:tc>
          <w:tcPr>
            <w:tcW w:w="2254" w:type="dxa"/>
          </w:tcPr>
          <w:p w14:paraId="5D9BE011" w14:textId="77777777" w:rsidR="002146A9" w:rsidRPr="002B672B" w:rsidRDefault="002146A9" w:rsidP="00971EFA">
            <w:pPr>
              <w:spacing w:line="261" w:lineRule="exact"/>
              <w:rPr>
                <w:rFonts w:cstheme="minorHAnsi"/>
              </w:rPr>
            </w:pPr>
            <w:r w:rsidRPr="002B672B">
              <w:rPr>
                <w:rFonts w:cstheme="minorHAnsi"/>
                <w:b/>
              </w:rPr>
              <w:t>Storage</w:t>
            </w:r>
          </w:p>
        </w:tc>
      </w:tr>
      <w:tr w:rsidR="002146A9" w:rsidRPr="002B672B" w14:paraId="24DC969B" w14:textId="77777777" w:rsidTr="00971EFA">
        <w:tc>
          <w:tcPr>
            <w:tcW w:w="2254" w:type="dxa"/>
          </w:tcPr>
          <w:p w14:paraId="6E470535" w14:textId="77777777" w:rsidR="002146A9" w:rsidRPr="002B672B" w:rsidRDefault="002146A9" w:rsidP="00971EFA">
            <w:pPr>
              <w:spacing w:line="260" w:lineRule="exact"/>
              <w:ind w:left="100"/>
              <w:rPr>
                <w:rFonts w:cstheme="minorHAnsi"/>
              </w:rPr>
            </w:pPr>
            <w:r w:rsidRPr="002B672B">
              <w:rPr>
                <w:rFonts w:cstheme="minorHAnsi"/>
              </w:rPr>
              <w:t>Concentrate for</w:t>
            </w:r>
          </w:p>
          <w:p w14:paraId="359FAD2D" w14:textId="77777777" w:rsidR="002146A9" w:rsidRPr="002B672B" w:rsidRDefault="002146A9" w:rsidP="00971EFA">
            <w:pPr>
              <w:spacing w:line="260" w:lineRule="exact"/>
              <w:ind w:left="100"/>
              <w:rPr>
                <w:rFonts w:cstheme="minorHAnsi"/>
              </w:rPr>
            </w:pPr>
            <w:r w:rsidRPr="002B672B">
              <w:rPr>
                <w:rFonts w:cstheme="minorHAnsi"/>
              </w:rPr>
              <w:t>Solution for Infusion</w:t>
            </w:r>
          </w:p>
          <w:p w14:paraId="49C378FB" w14:textId="77777777" w:rsidR="002146A9" w:rsidRPr="002B672B" w:rsidRDefault="002146A9" w:rsidP="00971EFA">
            <w:pPr>
              <w:spacing w:line="261" w:lineRule="exact"/>
              <w:rPr>
                <w:rFonts w:cstheme="minorHAnsi"/>
              </w:rPr>
            </w:pPr>
            <w:r w:rsidRPr="002B672B">
              <w:rPr>
                <w:rFonts w:cstheme="minorHAnsi"/>
              </w:rPr>
              <w:t>100mg in 20mL vial</w:t>
            </w:r>
          </w:p>
        </w:tc>
        <w:tc>
          <w:tcPr>
            <w:tcW w:w="2254" w:type="dxa"/>
          </w:tcPr>
          <w:p w14:paraId="6B0502A8" w14:textId="77777777" w:rsidR="002146A9" w:rsidRPr="002B672B" w:rsidRDefault="002146A9" w:rsidP="00971EFA">
            <w:pPr>
              <w:spacing w:line="260" w:lineRule="exact"/>
              <w:ind w:left="60"/>
              <w:rPr>
                <w:rFonts w:cstheme="minorHAnsi"/>
              </w:rPr>
            </w:pPr>
            <w:r w:rsidRPr="002B672B">
              <w:rPr>
                <w:rFonts w:cstheme="minorHAnsi"/>
              </w:rPr>
              <w:t>250mL sodium</w:t>
            </w:r>
          </w:p>
          <w:p w14:paraId="3A43E031" w14:textId="77777777" w:rsidR="002146A9" w:rsidRPr="002B672B" w:rsidRDefault="002146A9" w:rsidP="00971EFA">
            <w:pPr>
              <w:spacing w:line="261" w:lineRule="exact"/>
              <w:rPr>
                <w:rFonts w:cstheme="minorHAnsi"/>
              </w:rPr>
            </w:pPr>
            <w:r w:rsidRPr="002B672B">
              <w:rPr>
                <w:rFonts w:cstheme="minorHAnsi"/>
              </w:rPr>
              <w:t>chloride 0.9%</w:t>
            </w:r>
          </w:p>
        </w:tc>
        <w:tc>
          <w:tcPr>
            <w:tcW w:w="2254" w:type="dxa"/>
          </w:tcPr>
          <w:p w14:paraId="58FC86B3" w14:textId="77777777" w:rsidR="002146A9" w:rsidRPr="002B672B" w:rsidRDefault="002146A9" w:rsidP="00971EFA">
            <w:pPr>
              <w:spacing w:line="261" w:lineRule="exact"/>
              <w:rPr>
                <w:rFonts w:cstheme="minorHAnsi"/>
              </w:rPr>
            </w:pPr>
            <w:r w:rsidRPr="002B672B">
              <w:rPr>
                <w:rFonts w:cstheme="minorHAnsi"/>
              </w:rPr>
              <w:t>30 – 120 minutes</w:t>
            </w:r>
          </w:p>
        </w:tc>
        <w:tc>
          <w:tcPr>
            <w:tcW w:w="2254" w:type="dxa"/>
          </w:tcPr>
          <w:p w14:paraId="6AC86521" w14:textId="77777777" w:rsidR="002146A9" w:rsidRPr="002B672B" w:rsidRDefault="002146A9" w:rsidP="00971EFA">
            <w:pPr>
              <w:spacing w:line="261" w:lineRule="exact"/>
              <w:rPr>
                <w:rFonts w:cstheme="minorHAnsi"/>
              </w:rPr>
            </w:pPr>
            <w:r w:rsidRPr="002B672B">
              <w:rPr>
                <w:rFonts w:cstheme="minorHAnsi"/>
              </w:rPr>
              <w:t>Fridge (2 – 8</w:t>
            </w:r>
            <w:r w:rsidRPr="002B672B">
              <w:rPr>
                <w:rFonts w:cstheme="minorHAnsi"/>
                <w:vertAlign w:val="superscript"/>
              </w:rPr>
              <w:t>◦</w:t>
            </w:r>
            <w:r w:rsidRPr="002B672B">
              <w:rPr>
                <w:rFonts w:cstheme="minorHAnsi"/>
              </w:rPr>
              <w:t>c)</w:t>
            </w:r>
          </w:p>
        </w:tc>
      </w:tr>
      <w:tr w:rsidR="002146A9" w:rsidRPr="002B672B" w14:paraId="404B2061" w14:textId="77777777" w:rsidTr="00971EFA">
        <w:tc>
          <w:tcPr>
            <w:tcW w:w="2254" w:type="dxa"/>
          </w:tcPr>
          <w:p w14:paraId="3D8A7646" w14:textId="77777777" w:rsidR="002146A9" w:rsidRPr="002B672B" w:rsidRDefault="002146A9" w:rsidP="00971EFA">
            <w:pPr>
              <w:spacing w:line="260" w:lineRule="exact"/>
              <w:ind w:left="100"/>
              <w:rPr>
                <w:rFonts w:cstheme="minorHAnsi"/>
              </w:rPr>
            </w:pPr>
            <w:r w:rsidRPr="002B672B">
              <w:rPr>
                <w:rFonts w:cstheme="minorHAnsi"/>
              </w:rPr>
              <w:t>Powder for</w:t>
            </w:r>
          </w:p>
          <w:p w14:paraId="03E83D97" w14:textId="77777777" w:rsidR="002146A9" w:rsidRPr="002B672B" w:rsidRDefault="002146A9" w:rsidP="00971EFA">
            <w:pPr>
              <w:spacing w:line="0" w:lineRule="atLeast"/>
              <w:ind w:left="100"/>
              <w:rPr>
                <w:rFonts w:cstheme="minorHAnsi"/>
              </w:rPr>
            </w:pPr>
            <w:r w:rsidRPr="002B672B">
              <w:rPr>
                <w:rFonts w:cstheme="minorHAnsi"/>
              </w:rPr>
              <w:t>Concentrate for</w:t>
            </w:r>
          </w:p>
          <w:p w14:paraId="7F8F7B61" w14:textId="77777777" w:rsidR="002146A9" w:rsidRPr="002B672B" w:rsidRDefault="002146A9" w:rsidP="00971EFA">
            <w:pPr>
              <w:spacing w:line="233" w:lineRule="exact"/>
              <w:ind w:left="100"/>
              <w:rPr>
                <w:rFonts w:cstheme="minorHAnsi"/>
              </w:rPr>
            </w:pPr>
            <w:r w:rsidRPr="002B672B">
              <w:rPr>
                <w:rFonts w:cstheme="minorHAnsi"/>
              </w:rPr>
              <w:t>Solution for Infusion</w:t>
            </w:r>
          </w:p>
          <w:p w14:paraId="3E7D3AEA" w14:textId="77777777" w:rsidR="002146A9" w:rsidRPr="002B672B" w:rsidRDefault="002146A9" w:rsidP="00971EFA">
            <w:pPr>
              <w:spacing w:line="261" w:lineRule="exact"/>
              <w:rPr>
                <w:rFonts w:cstheme="minorHAnsi"/>
              </w:rPr>
            </w:pPr>
            <w:r w:rsidRPr="002B672B">
              <w:rPr>
                <w:rFonts w:cstheme="minorHAnsi"/>
              </w:rPr>
              <w:t>100mg vial</w:t>
            </w:r>
          </w:p>
        </w:tc>
        <w:tc>
          <w:tcPr>
            <w:tcW w:w="2254" w:type="dxa"/>
          </w:tcPr>
          <w:p w14:paraId="6549F474" w14:textId="77777777" w:rsidR="002146A9" w:rsidRPr="002B672B" w:rsidRDefault="002146A9" w:rsidP="00971EFA">
            <w:pPr>
              <w:spacing w:line="260" w:lineRule="exact"/>
              <w:ind w:left="60"/>
              <w:rPr>
                <w:rFonts w:cstheme="minorHAnsi"/>
              </w:rPr>
            </w:pPr>
            <w:r w:rsidRPr="002B672B">
              <w:rPr>
                <w:rFonts w:cstheme="minorHAnsi"/>
              </w:rPr>
              <w:t>100 - 250mL sodium</w:t>
            </w:r>
          </w:p>
          <w:p w14:paraId="6133F0FD" w14:textId="77777777" w:rsidR="002146A9" w:rsidRPr="002B672B" w:rsidRDefault="002146A9" w:rsidP="00971EFA">
            <w:pPr>
              <w:spacing w:line="261" w:lineRule="exact"/>
              <w:rPr>
                <w:rFonts w:cstheme="minorHAnsi"/>
              </w:rPr>
            </w:pPr>
            <w:r w:rsidRPr="002B672B">
              <w:rPr>
                <w:rFonts w:cstheme="minorHAnsi"/>
              </w:rPr>
              <w:t>chloride 0.9%</w:t>
            </w:r>
          </w:p>
        </w:tc>
        <w:tc>
          <w:tcPr>
            <w:tcW w:w="2254" w:type="dxa"/>
          </w:tcPr>
          <w:p w14:paraId="20B0F480" w14:textId="77777777" w:rsidR="002146A9" w:rsidRPr="002B672B" w:rsidRDefault="002146A9" w:rsidP="00971EFA">
            <w:pPr>
              <w:spacing w:line="261" w:lineRule="exact"/>
              <w:rPr>
                <w:rFonts w:cstheme="minorHAnsi"/>
              </w:rPr>
            </w:pPr>
            <w:r w:rsidRPr="002B672B">
              <w:rPr>
                <w:rFonts w:cstheme="minorHAnsi"/>
              </w:rPr>
              <w:t>30 – 120 minutes</w:t>
            </w:r>
          </w:p>
        </w:tc>
        <w:tc>
          <w:tcPr>
            <w:tcW w:w="2254" w:type="dxa"/>
          </w:tcPr>
          <w:p w14:paraId="3FA09D21" w14:textId="77777777" w:rsidR="002146A9" w:rsidRPr="002B672B" w:rsidRDefault="002146A9" w:rsidP="00971EFA">
            <w:pPr>
              <w:spacing w:line="260" w:lineRule="exact"/>
              <w:ind w:left="50"/>
              <w:rPr>
                <w:rFonts w:cstheme="minorHAnsi"/>
              </w:rPr>
            </w:pPr>
            <w:r w:rsidRPr="002B672B">
              <w:rPr>
                <w:rFonts w:cstheme="minorHAnsi"/>
              </w:rPr>
              <w:t>Room temperature</w:t>
            </w:r>
          </w:p>
          <w:p w14:paraId="0FB8D189" w14:textId="77777777" w:rsidR="002146A9" w:rsidRPr="002B672B" w:rsidRDefault="002146A9" w:rsidP="00971EFA">
            <w:pPr>
              <w:spacing w:line="261" w:lineRule="exact"/>
              <w:rPr>
                <w:rFonts w:cstheme="minorHAnsi"/>
              </w:rPr>
            </w:pPr>
            <w:r w:rsidRPr="002B672B">
              <w:rPr>
                <w:rFonts w:cstheme="minorHAnsi"/>
              </w:rPr>
              <w:t>(&lt;30</w:t>
            </w:r>
            <w:r w:rsidRPr="002B672B">
              <w:rPr>
                <w:rFonts w:cstheme="minorHAnsi"/>
                <w:vertAlign w:val="superscript"/>
              </w:rPr>
              <w:t>◦</w:t>
            </w:r>
            <w:r w:rsidRPr="002B672B">
              <w:rPr>
                <w:rFonts w:cstheme="minorHAnsi"/>
              </w:rPr>
              <w:t>c)</w:t>
            </w:r>
          </w:p>
        </w:tc>
      </w:tr>
    </w:tbl>
    <w:p w14:paraId="4125AB72" w14:textId="00FB3760" w:rsidR="002146A9" w:rsidRPr="002B672B" w:rsidRDefault="002146A9" w:rsidP="002146A9">
      <w:pPr>
        <w:spacing w:line="261" w:lineRule="exact"/>
        <w:rPr>
          <w:rFonts w:cstheme="minorHAnsi"/>
        </w:rPr>
      </w:pPr>
      <w:r w:rsidRPr="002B672B">
        <w:rPr>
          <w:rFonts w:cstheme="minorHAnsi"/>
        </w:rPr>
        <w:t>All unused vials should be returned without delay to Pharmacy.</w:t>
      </w:r>
    </w:p>
    <w:p w14:paraId="74A797B5" w14:textId="77777777" w:rsidR="002B672B" w:rsidRDefault="002B672B" w:rsidP="002146A9">
      <w:pPr>
        <w:spacing w:line="261" w:lineRule="exact"/>
        <w:rPr>
          <w:rFonts w:cstheme="minorHAnsi"/>
          <w:b/>
          <w:bCs/>
          <w:u w:val="single"/>
        </w:rPr>
      </w:pPr>
    </w:p>
    <w:p w14:paraId="00F7E5EC" w14:textId="5A34DA1C" w:rsidR="002B672B" w:rsidRPr="002B672B" w:rsidRDefault="002146A9" w:rsidP="002B672B">
      <w:pPr>
        <w:spacing w:line="261" w:lineRule="exact"/>
        <w:rPr>
          <w:rFonts w:cstheme="minorHAnsi"/>
          <w:b/>
          <w:bCs/>
          <w:u w:val="single"/>
        </w:rPr>
      </w:pPr>
      <w:r w:rsidRPr="002B672B">
        <w:rPr>
          <w:rFonts w:cstheme="minorHAnsi"/>
          <w:b/>
          <w:bCs/>
          <w:u w:val="single"/>
        </w:rPr>
        <w:t>Co-administration</w:t>
      </w:r>
    </w:p>
    <w:p w14:paraId="4097E315" w14:textId="77777777" w:rsidR="002B672B" w:rsidRPr="006944AD" w:rsidRDefault="002B672B" w:rsidP="002146A9">
      <w:pPr>
        <w:pStyle w:val="Default"/>
        <w:rPr>
          <w:rFonts w:asciiTheme="minorHAnsi" w:hAnsiTheme="minorHAnsi" w:cstheme="minorHAnsi"/>
          <w:sz w:val="22"/>
          <w:szCs w:val="22"/>
        </w:rPr>
      </w:pPr>
      <w:r w:rsidRPr="006944AD">
        <w:rPr>
          <w:rFonts w:asciiTheme="minorHAnsi" w:hAnsiTheme="minorHAnsi" w:cstheme="minorHAnsi"/>
          <w:sz w:val="22"/>
          <w:szCs w:val="22"/>
        </w:rPr>
        <w:t>IL-6 inhibitors may be administered in combination with baricitinib (as well as corticosteroids, unless contraindicated), according to clinical judgement, in patients with severe or critical COVID-19.</w:t>
      </w:r>
    </w:p>
    <w:p w14:paraId="4A5C5390" w14:textId="0E4322BA" w:rsidR="002B672B" w:rsidRPr="006944AD" w:rsidRDefault="002B672B" w:rsidP="002146A9">
      <w:pPr>
        <w:pStyle w:val="Default"/>
        <w:rPr>
          <w:rFonts w:asciiTheme="minorHAnsi" w:hAnsiTheme="minorHAnsi" w:cstheme="minorHAnsi"/>
          <w:sz w:val="22"/>
          <w:szCs w:val="22"/>
        </w:rPr>
      </w:pPr>
      <w:r w:rsidRPr="006944AD">
        <w:rPr>
          <w:rFonts w:asciiTheme="minorHAnsi" w:hAnsiTheme="minorHAnsi" w:cstheme="minorHAnsi"/>
          <w:sz w:val="22"/>
          <w:szCs w:val="22"/>
        </w:rPr>
        <w:t xml:space="preserve"> </w:t>
      </w:r>
    </w:p>
    <w:p w14:paraId="228E43AE" w14:textId="4C050227" w:rsidR="002146A9" w:rsidRPr="002B672B" w:rsidRDefault="002146A9" w:rsidP="002146A9">
      <w:pPr>
        <w:pStyle w:val="Default"/>
        <w:rPr>
          <w:rFonts w:asciiTheme="minorHAnsi" w:hAnsiTheme="minorHAnsi" w:cstheme="minorHAnsi"/>
          <w:sz w:val="22"/>
          <w:szCs w:val="22"/>
        </w:rPr>
      </w:pPr>
      <w:r w:rsidRPr="006944AD">
        <w:rPr>
          <w:rFonts w:asciiTheme="minorHAnsi" w:hAnsiTheme="minorHAnsi" w:cstheme="minorHAnsi"/>
          <w:sz w:val="22"/>
          <w:szCs w:val="22"/>
        </w:rPr>
        <w:t>Use of baricitinib in the treatment of COVID-19 should</w:t>
      </w:r>
      <w:r w:rsidR="002B672B" w:rsidRPr="006944AD">
        <w:rPr>
          <w:rFonts w:asciiTheme="minorHAnsi" w:hAnsiTheme="minorHAnsi" w:cstheme="minorHAnsi"/>
          <w:sz w:val="22"/>
          <w:szCs w:val="22"/>
        </w:rPr>
        <w:t xml:space="preserve"> also</w:t>
      </w:r>
      <w:r w:rsidRPr="006944AD">
        <w:rPr>
          <w:rFonts w:asciiTheme="minorHAnsi" w:hAnsiTheme="minorHAnsi" w:cstheme="minorHAnsi"/>
          <w:sz w:val="22"/>
          <w:szCs w:val="22"/>
        </w:rPr>
        <w:t xml:space="preserve"> be considered as ‘additive’ to the use of an IL-6 inhibitor (tocilizumab or sarilumab), rather than an alternative. In other words, a patient may be given an IL-6 inhibitor after treatment with baricitinib has been commenced (or vice versa), according to clinical judgement.</w:t>
      </w:r>
      <w:r w:rsidRPr="002B672B">
        <w:rPr>
          <w:rFonts w:asciiTheme="minorHAnsi" w:hAnsiTheme="minorHAnsi" w:cstheme="minorHAnsi"/>
          <w:sz w:val="22"/>
          <w:szCs w:val="22"/>
        </w:rPr>
        <w:t xml:space="preserve"> </w:t>
      </w:r>
    </w:p>
    <w:p w14:paraId="69C0E1AE" w14:textId="77777777" w:rsidR="002B672B" w:rsidRPr="002B672B" w:rsidRDefault="002B672B" w:rsidP="008D22DF">
      <w:pPr>
        <w:rPr>
          <w:rFonts w:cstheme="minorHAnsi"/>
          <w:color w:val="FF0000"/>
        </w:rPr>
      </w:pPr>
    </w:p>
    <w:p w14:paraId="6E9B5D78" w14:textId="2CE50A17" w:rsidR="00BF6DBE" w:rsidRPr="002B672B" w:rsidRDefault="00BF6DBE" w:rsidP="008D22DF">
      <w:pPr>
        <w:rPr>
          <w:rFonts w:cstheme="minorHAnsi"/>
          <w:u w:val="single"/>
        </w:rPr>
      </w:pPr>
      <w:r w:rsidRPr="002B672B">
        <w:rPr>
          <w:rFonts w:cstheme="minorHAnsi"/>
          <w:b/>
          <w:u w:val="single"/>
        </w:rPr>
        <w:t>Drug Interactions</w:t>
      </w:r>
    </w:p>
    <w:p w14:paraId="229351B5" w14:textId="46D3A90C" w:rsidR="008D22DF" w:rsidRPr="002B672B" w:rsidRDefault="008D22DF" w:rsidP="00BF6DBE">
      <w:pPr>
        <w:spacing w:after="0"/>
        <w:rPr>
          <w:rFonts w:cstheme="minorHAnsi"/>
          <w:b/>
        </w:rPr>
      </w:pPr>
      <w:r w:rsidRPr="002B672B">
        <w:rPr>
          <w:rFonts w:cstheme="minorHAnsi"/>
        </w:rPr>
        <w:t xml:space="preserve">Further information of potential drug interactions may be found via </w:t>
      </w:r>
      <w:hyperlink r:id="rId19" w:history="1">
        <w:r w:rsidRPr="002B672B">
          <w:rPr>
            <w:rStyle w:val="Hyperlink"/>
            <w:rFonts w:cstheme="minorHAnsi"/>
            <w:color w:val="0000FF"/>
          </w:rPr>
          <w:t>the University of Liverpool COVID-19 drug interactions</w:t>
        </w:r>
      </w:hyperlink>
      <w:r w:rsidRPr="002B672B">
        <w:rPr>
          <w:rFonts w:cstheme="minorHAnsi"/>
          <w:color w:val="0000FF"/>
        </w:rPr>
        <w:t xml:space="preserve"> </w:t>
      </w:r>
      <w:r w:rsidRPr="002B672B">
        <w:rPr>
          <w:rFonts w:cstheme="minorHAnsi"/>
        </w:rPr>
        <w:t>website.</w:t>
      </w:r>
    </w:p>
    <w:p w14:paraId="5C241AF2" w14:textId="0A6B5C84" w:rsidR="00F16CBB" w:rsidRPr="002B672B" w:rsidRDefault="00621A16" w:rsidP="000C06DB">
      <w:pPr>
        <w:spacing w:after="0"/>
        <w:rPr>
          <w:rFonts w:cstheme="minorHAnsi"/>
          <w:b/>
          <w:u w:val="single"/>
        </w:rPr>
      </w:pPr>
      <w:r w:rsidRPr="002B672B">
        <w:rPr>
          <w:rFonts w:cstheme="minorHAnsi"/>
          <w:b/>
          <w:u w:val="single"/>
        </w:rPr>
        <w:t>Pregnancy &amp; Breastfeeding</w:t>
      </w:r>
    </w:p>
    <w:p w14:paraId="0A599FD9" w14:textId="77777777" w:rsidR="005A3356" w:rsidRPr="002B672B" w:rsidRDefault="005A3356" w:rsidP="000C06DB">
      <w:pPr>
        <w:spacing w:after="0"/>
        <w:rPr>
          <w:rFonts w:cstheme="minorHAnsi"/>
          <w:b/>
          <w:u w:val="single"/>
        </w:rPr>
      </w:pPr>
    </w:p>
    <w:p w14:paraId="2AB6A246" w14:textId="3A7ED1C6" w:rsidR="002146A9" w:rsidRPr="002B672B" w:rsidRDefault="002146A9" w:rsidP="000C06DB">
      <w:pPr>
        <w:spacing w:after="0"/>
        <w:rPr>
          <w:rFonts w:cstheme="minorHAnsi"/>
          <w:b/>
        </w:rPr>
      </w:pPr>
      <w:r w:rsidRPr="002B672B">
        <w:rPr>
          <w:rFonts w:cstheme="minorHAnsi"/>
          <w:b/>
        </w:rPr>
        <w:t>IL-6 Inhibitor (</w:t>
      </w:r>
      <w:r w:rsidR="001250DF" w:rsidRPr="002B672B">
        <w:rPr>
          <w:rFonts w:cstheme="minorHAnsi"/>
          <w:b/>
        </w:rPr>
        <w:t>t</w:t>
      </w:r>
      <w:r w:rsidRPr="002B672B">
        <w:rPr>
          <w:rFonts w:cstheme="minorHAnsi"/>
          <w:b/>
        </w:rPr>
        <w:t xml:space="preserve">ocilizumab and </w:t>
      </w:r>
      <w:r w:rsidR="001250DF" w:rsidRPr="002B672B">
        <w:rPr>
          <w:rFonts w:cstheme="minorHAnsi"/>
          <w:b/>
        </w:rPr>
        <w:t>s</w:t>
      </w:r>
      <w:r w:rsidRPr="002B672B">
        <w:rPr>
          <w:rFonts w:cstheme="minorHAnsi"/>
          <w:b/>
        </w:rPr>
        <w:t>arilumab)</w:t>
      </w:r>
    </w:p>
    <w:p w14:paraId="556F76B6" w14:textId="78853E5E" w:rsidR="008D22DF" w:rsidRPr="002B672B" w:rsidRDefault="00F16CBB" w:rsidP="000C06DB">
      <w:pPr>
        <w:spacing w:after="0"/>
        <w:rPr>
          <w:rFonts w:cstheme="minorHAnsi"/>
        </w:rPr>
      </w:pPr>
      <w:r w:rsidRPr="002B672B">
        <w:rPr>
          <w:rFonts w:cstheme="minorHAnsi"/>
        </w:rPr>
        <w:t>Tocilizumab</w:t>
      </w:r>
    </w:p>
    <w:p w14:paraId="71D6B9AF" w14:textId="4C0BF254" w:rsidR="00F16CBB" w:rsidRPr="002B672B" w:rsidRDefault="00777031" w:rsidP="000C06DB">
      <w:pPr>
        <w:spacing w:after="0"/>
        <w:rPr>
          <w:rFonts w:cstheme="minorHAnsi"/>
        </w:rPr>
      </w:pPr>
      <w:r w:rsidRPr="002B672B">
        <w:rPr>
          <w:rFonts w:cstheme="minorHAnsi"/>
        </w:rPr>
        <w:t xml:space="preserve">Animal studies have shown an increased risk of spontaneous abortion / embryo-foetal death with high doses of tocilizumab. The risk in humans is unknown. </w:t>
      </w:r>
    </w:p>
    <w:p w14:paraId="015C5D6E" w14:textId="77777777" w:rsidR="005A3356" w:rsidRPr="002B672B" w:rsidRDefault="005A3356" w:rsidP="000C06DB">
      <w:pPr>
        <w:spacing w:after="0"/>
        <w:rPr>
          <w:rFonts w:cstheme="minorHAnsi"/>
        </w:rPr>
      </w:pPr>
    </w:p>
    <w:p w14:paraId="39A51EB2" w14:textId="62610013" w:rsidR="00F16CBB" w:rsidRPr="002B672B" w:rsidRDefault="00F16CBB" w:rsidP="000C06DB">
      <w:pPr>
        <w:spacing w:after="0"/>
        <w:rPr>
          <w:rFonts w:cstheme="minorHAnsi"/>
        </w:rPr>
      </w:pPr>
      <w:r w:rsidRPr="002B672B">
        <w:rPr>
          <w:rFonts w:cstheme="minorHAnsi"/>
        </w:rPr>
        <w:t>Sarilumab</w:t>
      </w:r>
    </w:p>
    <w:p w14:paraId="0E976DEE" w14:textId="702A8FAD" w:rsidR="00F16CBB" w:rsidRPr="002B672B" w:rsidRDefault="00F16CBB" w:rsidP="000C06DB">
      <w:pPr>
        <w:spacing w:after="0"/>
        <w:rPr>
          <w:rFonts w:cstheme="minorHAnsi"/>
        </w:rPr>
      </w:pPr>
      <w:r w:rsidRPr="002B672B">
        <w:rPr>
          <w:rFonts w:cstheme="minorHAnsi"/>
        </w:rPr>
        <w:t>Animal studies do not indicate direct or indirect harmful effects with respect to reproductive toxicity. There are no or limited amount of data from the use of sarilumab in pregnant women.</w:t>
      </w:r>
    </w:p>
    <w:p w14:paraId="268333C1" w14:textId="77777777" w:rsidR="005A3309" w:rsidRPr="002B672B" w:rsidRDefault="005A3309" w:rsidP="000C06DB">
      <w:pPr>
        <w:spacing w:after="0"/>
        <w:rPr>
          <w:rFonts w:cstheme="minorHAnsi"/>
        </w:rPr>
      </w:pPr>
    </w:p>
    <w:p w14:paraId="61DE8BA8" w14:textId="27FE1743" w:rsidR="00777031" w:rsidRPr="002B672B" w:rsidRDefault="00777031" w:rsidP="000C06DB">
      <w:pPr>
        <w:spacing w:after="0"/>
        <w:rPr>
          <w:rFonts w:cstheme="minorHAnsi"/>
        </w:rPr>
      </w:pPr>
      <w:r w:rsidRPr="002B672B">
        <w:rPr>
          <w:rFonts w:cstheme="minorHAnsi"/>
          <w:u w:val="single"/>
        </w:rPr>
        <w:t>IL-6 inhibitors</w:t>
      </w:r>
      <w:r w:rsidRPr="002B672B">
        <w:rPr>
          <w:rFonts w:cstheme="minorHAnsi"/>
        </w:rPr>
        <w:t xml:space="preserve"> should not be used during pregnancy unless clinical benefit outweighs risk.</w:t>
      </w:r>
      <w:r w:rsidR="009325D5" w:rsidRPr="002B672B">
        <w:rPr>
          <w:rFonts w:cstheme="minorHAnsi"/>
        </w:rPr>
        <w:t xml:space="preserve"> Please follow </w:t>
      </w:r>
      <w:hyperlink r:id="rId20" w:history="1">
        <w:r w:rsidR="009325D5" w:rsidRPr="002B672B">
          <w:rPr>
            <w:rStyle w:val="Hyperlink"/>
            <w:rFonts w:cstheme="minorHAnsi"/>
          </w:rPr>
          <w:t>RCOG Guidance</w:t>
        </w:r>
      </w:hyperlink>
      <w:r w:rsidR="009325D5" w:rsidRPr="002B672B">
        <w:rPr>
          <w:rFonts w:cstheme="minorHAnsi"/>
        </w:rPr>
        <w:t xml:space="preserve"> for use of Tocilizumab or Sarilumab during pregnancy . </w:t>
      </w:r>
      <w:r w:rsidRPr="002B672B">
        <w:rPr>
          <w:rFonts w:cstheme="minorHAnsi"/>
        </w:rPr>
        <w:t>Persons of childbearing potential should use effective contraception for 3 months following administration of an IL-6 inhibitor.</w:t>
      </w:r>
      <w:r w:rsidR="009325D5" w:rsidRPr="002B672B">
        <w:rPr>
          <w:rFonts w:cstheme="minorHAnsi"/>
        </w:rPr>
        <w:t xml:space="preserve"> </w:t>
      </w:r>
    </w:p>
    <w:p w14:paraId="073920AD" w14:textId="77777777" w:rsidR="002146A9" w:rsidRPr="002B672B" w:rsidRDefault="002146A9" w:rsidP="000C06DB">
      <w:pPr>
        <w:spacing w:after="0"/>
        <w:rPr>
          <w:rFonts w:cstheme="minorHAnsi"/>
        </w:rPr>
      </w:pPr>
    </w:p>
    <w:p w14:paraId="13A923DD" w14:textId="7AB43FD9" w:rsidR="002B672B" w:rsidRPr="002B672B" w:rsidRDefault="002B672B" w:rsidP="000C06DB">
      <w:pPr>
        <w:spacing w:after="0"/>
        <w:rPr>
          <w:rFonts w:cstheme="minorHAnsi"/>
        </w:rPr>
      </w:pPr>
      <w:r w:rsidRPr="006944AD">
        <w:rPr>
          <w:rFonts w:cstheme="minorHAnsi"/>
        </w:rPr>
        <w:t xml:space="preserve">For women who are breast-feeding, the </w:t>
      </w:r>
      <w:proofErr w:type="spellStart"/>
      <w:r w:rsidRPr="006944AD">
        <w:rPr>
          <w:rFonts w:cstheme="minorHAnsi"/>
        </w:rPr>
        <w:t>SmPCs</w:t>
      </w:r>
      <w:proofErr w:type="spellEnd"/>
      <w:r w:rsidRPr="006944AD">
        <w:rPr>
          <w:rFonts w:cstheme="minorHAnsi"/>
        </w:rPr>
        <w:t xml:space="preserve"> for both tocilizumab and sarilumab state: “It is unknown whether tocilizumab/sarilumab is excreted in human breast milk. The excretion of tocilizumab/sarilumab in milk has not been studied in animals. A decision on whether to discontinue breast-feeding or to discontinue IL-6 inhibitor therapy should be made taking into account the benefit of breast-feeding to the child and the benefit of therapy to the woman.”</w:t>
      </w:r>
    </w:p>
    <w:p w14:paraId="2ED9F56D" w14:textId="7AA93228" w:rsidR="002146A9" w:rsidRPr="002B672B" w:rsidRDefault="002146A9" w:rsidP="000C06DB">
      <w:pPr>
        <w:spacing w:after="0"/>
        <w:rPr>
          <w:rFonts w:cstheme="minorHAnsi"/>
        </w:rPr>
      </w:pPr>
    </w:p>
    <w:p w14:paraId="4D44153C" w14:textId="77777777" w:rsidR="002B672B" w:rsidRDefault="002B672B" w:rsidP="000C06DB">
      <w:pPr>
        <w:spacing w:after="0"/>
        <w:rPr>
          <w:rFonts w:cstheme="minorHAnsi"/>
          <w:b/>
        </w:rPr>
      </w:pPr>
    </w:p>
    <w:p w14:paraId="47F62762" w14:textId="2A1D9E06" w:rsidR="002146A9" w:rsidRPr="002B672B" w:rsidRDefault="002146A9" w:rsidP="000C06DB">
      <w:pPr>
        <w:spacing w:after="0"/>
        <w:rPr>
          <w:rFonts w:cstheme="minorHAnsi"/>
          <w:b/>
        </w:rPr>
      </w:pPr>
      <w:r w:rsidRPr="002B672B">
        <w:rPr>
          <w:rFonts w:cstheme="minorHAnsi"/>
          <w:b/>
        </w:rPr>
        <w:t>Baricitinib</w:t>
      </w:r>
    </w:p>
    <w:p w14:paraId="55803F07" w14:textId="57229701" w:rsidR="009325D5" w:rsidRPr="002B672B" w:rsidRDefault="009325D5" w:rsidP="000C06DB">
      <w:pPr>
        <w:spacing w:after="0"/>
        <w:rPr>
          <w:rFonts w:cstheme="minorHAnsi"/>
        </w:rPr>
      </w:pPr>
      <w:r w:rsidRPr="002B672B">
        <w:rPr>
          <w:rFonts w:cstheme="minorHAnsi"/>
        </w:rPr>
        <w:t xml:space="preserve">Baricitinib is </w:t>
      </w:r>
      <w:r w:rsidR="002146A9" w:rsidRPr="002B672B">
        <w:rPr>
          <w:rFonts w:cstheme="minorHAnsi"/>
        </w:rPr>
        <w:t>not recommended during pregnancy.</w:t>
      </w:r>
      <w:r w:rsidRPr="002B672B">
        <w:rPr>
          <w:rFonts w:cstheme="minorHAnsi"/>
        </w:rPr>
        <w:t xml:space="preserve"> Persons of childbearing potential should use effective contraception </w:t>
      </w:r>
      <w:r w:rsidRPr="002B672B">
        <w:rPr>
          <w:rStyle w:val="markedcontent"/>
          <w:rFonts w:cstheme="minorHAnsi"/>
        </w:rPr>
        <w:t>during and for at least 1 week after treatment.</w:t>
      </w:r>
      <w:r w:rsidRPr="002B672B">
        <w:rPr>
          <w:rFonts w:cstheme="minorHAnsi"/>
        </w:rPr>
        <w:t xml:space="preserve"> </w:t>
      </w:r>
      <w:r w:rsidR="002146A9" w:rsidRPr="002B672B">
        <w:rPr>
          <w:rFonts w:cstheme="minorHAnsi"/>
        </w:rPr>
        <w:t xml:space="preserve"> </w:t>
      </w:r>
    </w:p>
    <w:p w14:paraId="498042D2" w14:textId="392EDA7A" w:rsidR="002146A9" w:rsidRPr="002B672B" w:rsidRDefault="002146A9" w:rsidP="000C06DB">
      <w:pPr>
        <w:spacing w:after="0"/>
        <w:rPr>
          <w:rFonts w:cstheme="minorHAnsi"/>
        </w:rPr>
      </w:pPr>
      <w:r w:rsidRPr="002B672B">
        <w:rPr>
          <w:rFonts w:cstheme="minorHAnsi"/>
        </w:rPr>
        <w:t>Breastfeeding is not recommended with Baricitinib.</w:t>
      </w:r>
    </w:p>
    <w:p w14:paraId="5D4F0849" w14:textId="77777777" w:rsidR="002146A9" w:rsidRPr="002B672B" w:rsidRDefault="002146A9" w:rsidP="000C06DB">
      <w:pPr>
        <w:spacing w:after="0"/>
        <w:rPr>
          <w:rFonts w:cstheme="minorHAnsi"/>
        </w:rPr>
      </w:pPr>
    </w:p>
    <w:p w14:paraId="28A311EF" w14:textId="77777777" w:rsidR="002B672B" w:rsidRDefault="002B672B" w:rsidP="005A3356">
      <w:pPr>
        <w:spacing w:after="0"/>
        <w:rPr>
          <w:rFonts w:cstheme="minorHAnsi"/>
          <w:b/>
        </w:rPr>
      </w:pPr>
    </w:p>
    <w:p w14:paraId="604FC886" w14:textId="4E68E196" w:rsidR="00655C17" w:rsidRPr="002B672B" w:rsidRDefault="002146A9" w:rsidP="005A3356">
      <w:pPr>
        <w:spacing w:after="0"/>
        <w:rPr>
          <w:rFonts w:cstheme="minorHAnsi"/>
          <w:b/>
        </w:rPr>
      </w:pPr>
      <w:r w:rsidRPr="002B672B">
        <w:rPr>
          <w:rFonts w:cstheme="minorHAnsi"/>
          <w:b/>
        </w:rPr>
        <w:lastRenderedPageBreak/>
        <w:t>Remdesivir</w:t>
      </w:r>
    </w:p>
    <w:p w14:paraId="3150E4F5" w14:textId="0FD076D9" w:rsidR="002146A9" w:rsidRPr="002B672B" w:rsidRDefault="002146A9" w:rsidP="002146A9">
      <w:pPr>
        <w:rPr>
          <w:rFonts w:cstheme="minorHAnsi"/>
        </w:rPr>
      </w:pPr>
      <w:r w:rsidRPr="002B672B">
        <w:rPr>
          <w:rFonts w:cstheme="minorHAnsi"/>
        </w:rPr>
        <w:t xml:space="preserve">There are limited data from the use of remdesivir in pregnant women. Remdesivir should be avoided in pregnancy unless clinicians believe the benefits of treatment outweigh the risks to the individual (please see </w:t>
      </w:r>
      <w:hyperlink r:id="rId21" w:history="1">
        <w:r w:rsidRPr="002B672B">
          <w:rPr>
            <w:rStyle w:val="Hyperlink"/>
            <w:rFonts w:cstheme="minorHAnsi"/>
          </w:rPr>
          <w:t>SmPC</w:t>
        </w:r>
      </w:hyperlink>
      <w:r w:rsidRPr="002B672B">
        <w:rPr>
          <w:rFonts w:cstheme="minorHAnsi"/>
        </w:rPr>
        <w:t xml:space="preserve"> for further information). </w:t>
      </w:r>
      <w:r w:rsidR="009325D5" w:rsidRPr="002B672B">
        <w:rPr>
          <w:rFonts w:cstheme="minorHAnsi"/>
        </w:rPr>
        <w:t xml:space="preserve">Please follow </w:t>
      </w:r>
      <w:hyperlink r:id="rId22" w:history="1">
        <w:r w:rsidR="009325D5" w:rsidRPr="002B672B">
          <w:rPr>
            <w:rStyle w:val="Hyperlink"/>
            <w:rFonts w:cstheme="minorHAnsi"/>
          </w:rPr>
          <w:t>RCOG Guidance</w:t>
        </w:r>
      </w:hyperlink>
      <w:r w:rsidR="009325D5" w:rsidRPr="002B672B">
        <w:rPr>
          <w:rFonts w:cstheme="minorHAnsi"/>
        </w:rPr>
        <w:t xml:space="preserve"> for use of Remdesivir during pregnancy. </w:t>
      </w:r>
      <w:r w:rsidRPr="002B672B">
        <w:rPr>
          <w:rStyle w:val="markedcontent"/>
          <w:rFonts w:cstheme="minorHAnsi"/>
        </w:rPr>
        <w:t>Women of child-bearing potential have to use effective contraception during</w:t>
      </w:r>
      <w:r w:rsidRPr="002B672B">
        <w:rPr>
          <w:rFonts w:cstheme="minorHAnsi"/>
        </w:rPr>
        <w:t xml:space="preserve"> </w:t>
      </w:r>
      <w:r w:rsidRPr="002B672B">
        <w:rPr>
          <w:rStyle w:val="markedcontent"/>
          <w:rFonts w:cstheme="minorHAnsi"/>
        </w:rPr>
        <w:t>treatment.</w:t>
      </w:r>
    </w:p>
    <w:p w14:paraId="430C982D" w14:textId="1CD3725B" w:rsidR="002146A9" w:rsidRPr="002B672B" w:rsidRDefault="002146A9" w:rsidP="00D67427">
      <w:pPr>
        <w:rPr>
          <w:rFonts w:cstheme="minorHAnsi"/>
        </w:rPr>
      </w:pPr>
      <w:r w:rsidRPr="002B672B">
        <w:rPr>
          <w:rFonts w:cstheme="minorHAnsi"/>
        </w:rPr>
        <w:t xml:space="preserve">It is unknown whether remdesivir is excreted in human milk or the effects on the breast-fed infant, or the effects on milk production. In animal studies, the nucleoside </w:t>
      </w:r>
      <w:proofErr w:type="spellStart"/>
      <w:r w:rsidRPr="002B672B">
        <w:rPr>
          <w:rFonts w:cstheme="minorHAnsi"/>
        </w:rPr>
        <w:t>analog</w:t>
      </w:r>
      <w:proofErr w:type="spellEnd"/>
      <w:r w:rsidRPr="002B672B">
        <w:rPr>
          <w:rFonts w:cstheme="minorHAnsi"/>
        </w:rPr>
        <w:t xml:space="preserve"> metabolite GS-441524 has been detected in the blood of nursing rat pups of mothers given remdesivir. Therefore, excretion of remdesivir and/or metabolites into the milk of lactating animals can be assumed. Because of the potential for viral transmission to SARS-CoV-2-negative infants and adverse reactions from the drug in breast-feeding infants, a decision must be made whether to discontinue breast-feeding or to discontinue/abstain from remdesivir therapy taking into account the benefit of breast-feeding for the child and the benefit of therapy for the woman.</w:t>
      </w:r>
    </w:p>
    <w:p w14:paraId="0193FC28" w14:textId="77777777" w:rsidR="002B672B" w:rsidRDefault="002B672B" w:rsidP="00D67427">
      <w:pPr>
        <w:rPr>
          <w:rFonts w:cstheme="minorHAnsi"/>
          <w:b/>
          <w:u w:val="single"/>
        </w:rPr>
      </w:pPr>
    </w:p>
    <w:p w14:paraId="1B8B3E99" w14:textId="77777777" w:rsidR="002B672B" w:rsidRDefault="002B672B" w:rsidP="00D67427">
      <w:pPr>
        <w:rPr>
          <w:rFonts w:cstheme="minorHAnsi"/>
          <w:b/>
          <w:u w:val="single"/>
        </w:rPr>
      </w:pPr>
    </w:p>
    <w:p w14:paraId="46649786" w14:textId="62240972" w:rsidR="00C44894" w:rsidRPr="002B672B" w:rsidRDefault="00C44894" w:rsidP="00D67427">
      <w:pPr>
        <w:rPr>
          <w:rFonts w:cstheme="minorHAnsi"/>
          <w:b/>
          <w:u w:val="single"/>
        </w:rPr>
      </w:pPr>
      <w:r w:rsidRPr="002B672B">
        <w:rPr>
          <w:rFonts w:cstheme="minorHAnsi"/>
          <w:b/>
          <w:u w:val="single"/>
        </w:rPr>
        <w:t>Monitoring</w:t>
      </w:r>
    </w:p>
    <w:p w14:paraId="64558880" w14:textId="5F1588B9" w:rsidR="002146A9" w:rsidRPr="002B672B" w:rsidRDefault="002146A9" w:rsidP="002146A9">
      <w:pPr>
        <w:spacing w:after="0"/>
        <w:rPr>
          <w:rFonts w:cstheme="minorHAnsi"/>
        </w:rPr>
      </w:pPr>
      <w:r w:rsidRPr="002B672B">
        <w:rPr>
          <w:rFonts w:cstheme="minorHAnsi"/>
          <w:b/>
        </w:rPr>
        <w:t>IL-6 Inhibitor (</w:t>
      </w:r>
      <w:r w:rsidR="001250DF" w:rsidRPr="002B672B">
        <w:rPr>
          <w:rFonts w:cstheme="minorHAnsi"/>
          <w:b/>
        </w:rPr>
        <w:t>t</w:t>
      </w:r>
      <w:r w:rsidRPr="002B672B">
        <w:rPr>
          <w:rFonts w:cstheme="minorHAnsi"/>
          <w:b/>
        </w:rPr>
        <w:t xml:space="preserve">ocilizumab and </w:t>
      </w:r>
      <w:r w:rsidR="001250DF" w:rsidRPr="002B672B">
        <w:rPr>
          <w:rFonts w:cstheme="minorHAnsi"/>
          <w:b/>
        </w:rPr>
        <w:t>s</w:t>
      </w:r>
      <w:r w:rsidRPr="002B672B">
        <w:rPr>
          <w:rFonts w:cstheme="minorHAnsi"/>
          <w:b/>
        </w:rPr>
        <w:t>arilumab)</w:t>
      </w:r>
      <w:r w:rsidR="009325D5" w:rsidRPr="002B672B">
        <w:rPr>
          <w:rFonts w:cstheme="minorHAnsi"/>
          <w:b/>
        </w:rPr>
        <w:t xml:space="preserve"> and Baricitinib</w:t>
      </w:r>
    </w:p>
    <w:p w14:paraId="23E74689" w14:textId="44D6A111" w:rsidR="00C44894" w:rsidRPr="002B672B" w:rsidRDefault="00C44894" w:rsidP="00D67427">
      <w:pPr>
        <w:rPr>
          <w:rFonts w:cstheme="minorHAnsi"/>
        </w:rPr>
      </w:pPr>
      <w:r w:rsidRPr="002B672B">
        <w:rPr>
          <w:rFonts w:cstheme="minorHAnsi"/>
        </w:rPr>
        <w:t>Tr</w:t>
      </w:r>
      <w:r w:rsidR="00D67427" w:rsidRPr="002B672B">
        <w:rPr>
          <w:rFonts w:cstheme="minorHAnsi"/>
        </w:rPr>
        <w:t>eatment with tocilizumab</w:t>
      </w:r>
      <w:r w:rsidR="00F16CBB" w:rsidRPr="002B672B">
        <w:rPr>
          <w:rFonts w:cstheme="minorHAnsi"/>
        </w:rPr>
        <w:t>/sarilumab</w:t>
      </w:r>
      <w:r w:rsidR="009325D5" w:rsidRPr="002B672B">
        <w:rPr>
          <w:rFonts w:cstheme="minorHAnsi"/>
        </w:rPr>
        <w:t xml:space="preserve"> and baricitinib</w:t>
      </w:r>
      <w:r w:rsidR="00D67427" w:rsidRPr="002B672B">
        <w:rPr>
          <w:rFonts w:cstheme="minorHAnsi"/>
        </w:rPr>
        <w:t xml:space="preserve"> can lower the ability of the immune system to fight infection. This </w:t>
      </w:r>
      <w:r w:rsidRPr="002B672B">
        <w:rPr>
          <w:rFonts w:cstheme="minorHAnsi"/>
        </w:rPr>
        <w:t>means potentially</w:t>
      </w:r>
      <w:r w:rsidR="003E2FB5" w:rsidRPr="002B672B">
        <w:rPr>
          <w:rFonts w:cstheme="minorHAnsi"/>
        </w:rPr>
        <w:t>:</w:t>
      </w:r>
    </w:p>
    <w:p w14:paraId="7441A1E8" w14:textId="25165788" w:rsidR="00C44894" w:rsidRPr="002B672B" w:rsidRDefault="00C44894" w:rsidP="00717EFB">
      <w:pPr>
        <w:pStyle w:val="ListParagraph"/>
        <w:numPr>
          <w:ilvl w:val="0"/>
          <w:numId w:val="8"/>
        </w:numPr>
        <w:rPr>
          <w:rFonts w:cstheme="minorHAnsi"/>
        </w:rPr>
      </w:pPr>
      <w:r w:rsidRPr="002B672B">
        <w:rPr>
          <w:rFonts w:cstheme="minorHAnsi"/>
        </w:rPr>
        <w:t>Increased risk</w:t>
      </w:r>
      <w:r w:rsidR="00D67427" w:rsidRPr="002B672B">
        <w:rPr>
          <w:rFonts w:cstheme="minorHAnsi"/>
        </w:rPr>
        <w:t xml:space="preserve"> </w:t>
      </w:r>
      <w:r w:rsidRPr="002B672B">
        <w:rPr>
          <w:rFonts w:cstheme="minorHAnsi"/>
        </w:rPr>
        <w:t xml:space="preserve">of acquiring </w:t>
      </w:r>
      <w:r w:rsidR="00D67427" w:rsidRPr="002B672B">
        <w:rPr>
          <w:rFonts w:cstheme="minorHAnsi"/>
        </w:rPr>
        <w:t>infection</w:t>
      </w:r>
    </w:p>
    <w:p w14:paraId="1E840BAF" w14:textId="23F9DBD7" w:rsidR="00C44894" w:rsidRPr="002B672B" w:rsidRDefault="00C44894" w:rsidP="00717EFB">
      <w:pPr>
        <w:pStyle w:val="ListParagraph"/>
        <w:numPr>
          <w:ilvl w:val="0"/>
          <w:numId w:val="8"/>
        </w:numPr>
        <w:rPr>
          <w:rFonts w:cstheme="minorHAnsi"/>
        </w:rPr>
      </w:pPr>
      <w:r w:rsidRPr="002B672B">
        <w:rPr>
          <w:rFonts w:cstheme="minorHAnsi"/>
        </w:rPr>
        <w:t>Attenuated clinical and laboratory signs of infection</w:t>
      </w:r>
      <w:r w:rsidR="00946535" w:rsidRPr="002B672B">
        <w:rPr>
          <w:rFonts w:cstheme="minorHAnsi"/>
        </w:rPr>
        <w:t xml:space="preserve"> for a prolonged period</w:t>
      </w:r>
      <w:r w:rsidRPr="002B672B">
        <w:rPr>
          <w:rFonts w:cstheme="minorHAnsi"/>
        </w:rPr>
        <w:t xml:space="preserve"> e.g. CRP response</w:t>
      </w:r>
      <w:r w:rsidR="00946535" w:rsidRPr="002B672B">
        <w:rPr>
          <w:rFonts w:cstheme="minorHAnsi"/>
        </w:rPr>
        <w:t xml:space="preserve"> for up to 3 months</w:t>
      </w:r>
    </w:p>
    <w:p w14:paraId="7A085C10" w14:textId="69986CEE" w:rsidR="00C44894" w:rsidRPr="002B672B" w:rsidRDefault="00C44894" w:rsidP="00717EFB">
      <w:pPr>
        <w:pStyle w:val="ListParagraph"/>
        <w:numPr>
          <w:ilvl w:val="0"/>
          <w:numId w:val="8"/>
        </w:numPr>
        <w:rPr>
          <w:rFonts w:cstheme="minorHAnsi"/>
        </w:rPr>
      </w:pPr>
      <w:r w:rsidRPr="002B672B">
        <w:rPr>
          <w:rFonts w:cstheme="minorHAnsi"/>
        </w:rPr>
        <w:t>Worse outcome of</w:t>
      </w:r>
      <w:r w:rsidR="00D67427" w:rsidRPr="002B672B">
        <w:rPr>
          <w:rFonts w:cstheme="minorHAnsi"/>
        </w:rPr>
        <w:t xml:space="preserve"> any i</w:t>
      </w:r>
      <w:r w:rsidR="003E2FB5" w:rsidRPr="002B672B">
        <w:rPr>
          <w:rFonts w:cstheme="minorHAnsi"/>
        </w:rPr>
        <w:t>nfection the patient contracts</w:t>
      </w:r>
    </w:p>
    <w:p w14:paraId="0B9C2A0A" w14:textId="4B6C2D4F" w:rsidR="00C44894" w:rsidRPr="002B672B" w:rsidRDefault="00C44894" w:rsidP="00D67427">
      <w:pPr>
        <w:rPr>
          <w:rFonts w:cstheme="minorHAnsi"/>
        </w:rPr>
      </w:pPr>
      <w:r w:rsidRPr="002B672B">
        <w:rPr>
          <w:rFonts w:cstheme="minorHAnsi"/>
        </w:rPr>
        <w:t xml:space="preserve">It is important therefore that clinicians are alert to any </w:t>
      </w:r>
      <w:proofErr w:type="spellStart"/>
      <w:r w:rsidRPr="002B672B">
        <w:rPr>
          <w:rFonts w:cstheme="minorHAnsi"/>
        </w:rPr>
        <w:t>intercurrent</w:t>
      </w:r>
      <w:proofErr w:type="spellEnd"/>
      <w:r w:rsidRPr="002B672B">
        <w:rPr>
          <w:rFonts w:cstheme="minorHAnsi"/>
        </w:rPr>
        <w:t xml:space="preserve"> infection in patients who have received tocilizumab</w:t>
      </w:r>
      <w:r w:rsidR="00F16CBB" w:rsidRPr="002B672B">
        <w:rPr>
          <w:rFonts w:cstheme="minorHAnsi"/>
        </w:rPr>
        <w:t>/sarilumab</w:t>
      </w:r>
      <w:r w:rsidR="009325D5" w:rsidRPr="002B672B">
        <w:rPr>
          <w:rFonts w:cstheme="minorHAnsi"/>
        </w:rPr>
        <w:t xml:space="preserve"> or baricitinib</w:t>
      </w:r>
      <w:r w:rsidR="00F16CBB" w:rsidRPr="002B672B">
        <w:rPr>
          <w:rFonts w:cstheme="minorHAnsi"/>
        </w:rPr>
        <w:t>.</w:t>
      </w:r>
    </w:p>
    <w:p w14:paraId="5B3CF736" w14:textId="5D616BBD" w:rsidR="00C44894" w:rsidRPr="002B672B" w:rsidRDefault="00C44894" w:rsidP="005A3356">
      <w:pPr>
        <w:spacing w:after="0"/>
        <w:rPr>
          <w:rFonts w:cstheme="minorHAnsi"/>
        </w:rPr>
      </w:pPr>
      <w:r w:rsidRPr="002B672B">
        <w:rPr>
          <w:rFonts w:cstheme="minorHAnsi"/>
        </w:rPr>
        <w:t>Clinicians should ensure:</w:t>
      </w:r>
    </w:p>
    <w:p w14:paraId="67B32C73" w14:textId="298BA7D1" w:rsidR="00C44894" w:rsidRPr="002B672B" w:rsidRDefault="005F2C40" w:rsidP="00717EFB">
      <w:pPr>
        <w:pStyle w:val="ListParagraph"/>
        <w:numPr>
          <w:ilvl w:val="0"/>
          <w:numId w:val="9"/>
        </w:numPr>
        <w:rPr>
          <w:rFonts w:cstheme="minorHAnsi"/>
        </w:rPr>
      </w:pPr>
      <w:r w:rsidRPr="002B672B">
        <w:rPr>
          <w:rFonts w:cstheme="minorHAnsi"/>
        </w:rPr>
        <w:t>Microbiological s</w:t>
      </w:r>
      <w:r w:rsidR="00C44894" w:rsidRPr="002B672B">
        <w:rPr>
          <w:rFonts w:cstheme="minorHAnsi"/>
        </w:rPr>
        <w:t>amples (e.g. cultures) are sent if there is any concern about infection</w:t>
      </w:r>
    </w:p>
    <w:p w14:paraId="4E9672D8" w14:textId="77777777" w:rsidR="002B672B" w:rsidRDefault="005F2C40" w:rsidP="009325D5">
      <w:pPr>
        <w:pStyle w:val="ListParagraph"/>
        <w:numPr>
          <w:ilvl w:val="0"/>
          <w:numId w:val="9"/>
        </w:numPr>
        <w:rPr>
          <w:rFonts w:cstheme="minorHAnsi"/>
        </w:rPr>
      </w:pPr>
      <w:r w:rsidRPr="002B672B">
        <w:rPr>
          <w:rFonts w:cstheme="minorHAnsi"/>
        </w:rPr>
        <w:t>P</w:t>
      </w:r>
      <w:r w:rsidR="00C44894" w:rsidRPr="002B672B">
        <w:rPr>
          <w:rFonts w:cstheme="minorHAnsi"/>
        </w:rPr>
        <w:t>rompt antibiotic treatment is given if infection is suspe</w:t>
      </w:r>
      <w:r w:rsidRPr="002B672B">
        <w:rPr>
          <w:rFonts w:cstheme="minorHAnsi"/>
        </w:rPr>
        <w:t xml:space="preserve">cted and reviewed with senior </w:t>
      </w:r>
      <w:r w:rsidR="00C44894" w:rsidRPr="002B672B">
        <w:rPr>
          <w:rFonts w:cstheme="minorHAnsi"/>
        </w:rPr>
        <w:t>infection input as soon as possible</w:t>
      </w:r>
    </w:p>
    <w:p w14:paraId="7EA9E65C" w14:textId="77777777" w:rsidR="002B672B" w:rsidRPr="006944AD" w:rsidRDefault="002B672B" w:rsidP="009325D5">
      <w:pPr>
        <w:pStyle w:val="ListParagraph"/>
        <w:numPr>
          <w:ilvl w:val="0"/>
          <w:numId w:val="9"/>
        </w:numPr>
        <w:rPr>
          <w:rFonts w:cstheme="minorHAnsi"/>
        </w:rPr>
      </w:pPr>
      <w:bookmarkStart w:id="0" w:name="_GoBack"/>
      <w:bookmarkEnd w:id="0"/>
      <w:r w:rsidRPr="006944AD">
        <w:rPr>
          <w:rFonts w:cstheme="minorHAnsi"/>
        </w:rPr>
        <w:t>GP is aware the patient has received an IL-6 inhibitor or baricitinib</w:t>
      </w:r>
    </w:p>
    <w:p w14:paraId="4FDBD0AD" w14:textId="2D8FECDD" w:rsidR="002B672B" w:rsidRPr="006944AD" w:rsidRDefault="002B672B" w:rsidP="009325D5">
      <w:pPr>
        <w:pStyle w:val="ListParagraph"/>
        <w:numPr>
          <w:ilvl w:val="0"/>
          <w:numId w:val="9"/>
        </w:numPr>
        <w:rPr>
          <w:rFonts w:cstheme="minorHAnsi"/>
        </w:rPr>
      </w:pPr>
      <w:r w:rsidRPr="006944AD">
        <w:rPr>
          <w:rFonts w:cstheme="minorHAnsi"/>
        </w:rPr>
        <w:t>Patient is informed of risk.</w:t>
      </w:r>
    </w:p>
    <w:p w14:paraId="057EA511" w14:textId="77777777" w:rsidR="002B672B" w:rsidRPr="006944AD" w:rsidRDefault="002B672B" w:rsidP="002B672B">
      <w:pPr>
        <w:pStyle w:val="ListParagraph"/>
        <w:ind w:left="1080"/>
        <w:rPr>
          <w:rFonts w:cstheme="minorHAnsi"/>
        </w:rPr>
      </w:pPr>
    </w:p>
    <w:p w14:paraId="6940D1FE" w14:textId="7F648F56" w:rsidR="002B672B" w:rsidRPr="006944AD" w:rsidRDefault="002B672B" w:rsidP="009325D5">
      <w:pPr>
        <w:rPr>
          <w:rFonts w:cstheme="minorHAnsi"/>
          <w:u w:val="single"/>
        </w:rPr>
      </w:pPr>
      <w:r w:rsidRPr="006944AD">
        <w:rPr>
          <w:rFonts w:cstheme="minorHAnsi"/>
          <w:u w:val="single"/>
        </w:rPr>
        <w:t>Tocilizumab monitoring during infusion</w:t>
      </w:r>
      <w:r w:rsidRPr="006944AD">
        <w:rPr>
          <w:rStyle w:val="FootnoteReference"/>
          <w:rFonts w:cstheme="minorHAnsi"/>
          <w:u w:val="single"/>
        </w:rPr>
        <w:footnoteReference w:id="4"/>
      </w:r>
    </w:p>
    <w:p w14:paraId="0468C061" w14:textId="158658E1" w:rsidR="002B672B" w:rsidRPr="006944AD" w:rsidRDefault="002B672B" w:rsidP="009325D5">
      <w:pPr>
        <w:rPr>
          <w:rFonts w:eastAsia="Times New Roman" w:cstheme="minorHAnsi"/>
          <w:color w:val="333333"/>
          <w:shd w:val="clear" w:color="auto" w:fill="FFFFFF"/>
        </w:rPr>
      </w:pPr>
      <w:r w:rsidRPr="006944AD">
        <w:rPr>
          <w:rFonts w:eastAsia="Times New Roman" w:cstheme="minorHAnsi"/>
          <w:color w:val="333333"/>
          <w:shd w:val="clear" w:color="auto" w:fill="FFFFFF"/>
        </w:rPr>
        <w:t xml:space="preserve">Hypersensitivity reactions including anaphylaxis, flushing, fever, chills, rash, pruritus, </w:t>
      </w:r>
      <w:proofErr w:type="spellStart"/>
      <w:r w:rsidRPr="006944AD">
        <w:rPr>
          <w:rFonts w:eastAsia="Times New Roman" w:cstheme="minorHAnsi"/>
          <w:color w:val="333333"/>
          <w:shd w:val="clear" w:color="auto" w:fill="FFFFFF"/>
        </w:rPr>
        <w:t>urticaria</w:t>
      </w:r>
      <w:proofErr w:type="spellEnd"/>
      <w:r w:rsidRPr="006944AD">
        <w:rPr>
          <w:rFonts w:eastAsia="Times New Roman" w:cstheme="minorHAnsi"/>
          <w:color w:val="333333"/>
          <w:shd w:val="clear" w:color="auto" w:fill="FFFFFF"/>
        </w:rPr>
        <w:t>, headache, hypertension can occur.</w:t>
      </w:r>
      <w:r w:rsidRPr="006944AD">
        <w:rPr>
          <w:rFonts w:eastAsia="Times New Roman" w:cstheme="minorHAnsi"/>
          <w:color w:val="333333"/>
        </w:rPr>
        <w:br/>
      </w:r>
      <w:r w:rsidRPr="006944AD">
        <w:rPr>
          <w:rFonts w:eastAsia="Times New Roman" w:cstheme="minorHAnsi"/>
          <w:bCs/>
          <w:color w:val="333333"/>
        </w:rPr>
        <w:lastRenderedPageBreak/>
        <w:t>Monitor:</w:t>
      </w:r>
      <w:r w:rsidRPr="006944AD">
        <w:rPr>
          <w:rFonts w:eastAsia="Times New Roman" w:cstheme="minorHAnsi"/>
          <w:color w:val="333333"/>
          <w:shd w:val="clear" w:color="auto" w:fill="FFFFFF"/>
        </w:rPr>
        <w:t> Pulse, blood pressure, temperature &amp; respiration rate for any signs of hypersensitivity reaction.</w:t>
      </w:r>
      <w:r w:rsidRPr="006944AD">
        <w:rPr>
          <w:rFonts w:eastAsia="Times New Roman" w:cstheme="minorHAnsi"/>
          <w:color w:val="333333"/>
          <w:sz w:val="18"/>
          <w:szCs w:val="18"/>
        </w:rPr>
        <w:t xml:space="preserve"> </w:t>
      </w:r>
      <w:r w:rsidRPr="006944AD">
        <w:rPr>
          <w:rFonts w:eastAsia="Times New Roman" w:cstheme="minorHAnsi"/>
          <w:color w:val="333333"/>
          <w:shd w:val="clear" w:color="auto" w:fill="FFFFFF"/>
        </w:rPr>
        <w:t>Monitor baseline observations after 15 minutes, then every 30 minutes and post infusion.</w:t>
      </w:r>
    </w:p>
    <w:p w14:paraId="5DE73A7E" w14:textId="5739E0A0" w:rsidR="002B672B" w:rsidRPr="006944AD" w:rsidRDefault="002B672B" w:rsidP="002B672B">
      <w:pPr>
        <w:rPr>
          <w:rFonts w:cstheme="minorHAnsi"/>
          <w:u w:val="single"/>
        </w:rPr>
      </w:pPr>
      <w:r w:rsidRPr="006944AD">
        <w:rPr>
          <w:rFonts w:eastAsia="Times New Roman" w:cstheme="minorHAnsi"/>
          <w:color w:val="333333"/>
          <w:u w:val="single"/>
          <w:shd w:val="clear" w:color="auto" w:fill="FFFFFF"/>
        </w:rPr>
        <w:t xml:space="preserve">Sarilumab </w:t>
      </w:r>
      <w:r w:rsidRPr="006944AD">
        <w:rPr>
          <w:rFonts w:cstheme="minorHAnsi"/>
          <w:u w:val="single"/>
        </w:rPr>
        <w:t>monitoring during infusion</w:t>
      </w:r>
      <w:r w:rsidRPr="006944AD">
        <w:rPr>
          <w:rStyle w:val="FootnoteReference"/>
          <w:rFonts w:cstheme="minorHAnsi"/>
          <w:u w:val="single"/>
        </w:rPr>
        <w:footnoteReference w:id="5"/>
      </w:r>
    </w:p>
    <w:p w14:paraId="4D1181A7" w14:textId="3F1BF9A9" w:rsidR="002B672B" w:rsidRPr="002B672B" w:rsidRDefault="002B672B" w:rsidP="002B672B">
      <w:pPr>
        <w:rPr>
          <w:rFonts w:cstheme="minorHAnsi"/>
        </w:rPr>
      </w:pPr>
      <w:r w:rsidRPr="006944AD">
        <w:rPr>
          <w:rFonts w:cstheme="minorHAnsi"/>
          <w:shd w:val="clear" w:color="auto" w:fill="FFFFFF"/>
        </w:rPr>
        <w:t>Infusion-related reactions: may include chills, nausea, headache, wheezing, itching, flushing, pyrexia, dizziness. If a mild to severe infusion related reaction (grade 1-3) occurs stop treatment and treat symptoms. Reduce infusion rate by at least 50% when re-starting infusion.</w:t>
      </w:r>
      <w:r w:rsidRPr="006944AD">
        <w:rPr>
          <w:rFonts w:cstheme="minorHAnsi"/>
        </w:rPr>
        <w:br/>
      </w:r>
      <w:r w:rsidRPr="006944AD">
        <w:rPr>
          <w:rFonts w:cstheme="minorHAnsi"/>
          <w:bCs/>
        </w:rPr>
        <w:t>Monitor:</w:t>
      </w:r>
      <w:r w:rsidRPr="006944AD">
        <w:rPr>
          <w:rFonts w:cstheme="minorHAnsi"/>
        </w:rPr>
        <w:t xml:space="preserve"> for infusion-related reactions during and after infusion (if they occur, likely to be within first 24 hours).</w:t>
      </w:r>
    </w:p>
    <w:p w14:paraId="66420842" w14:textId="30D10572" w:rsidR="002146A9" w:rsidRPr="002B672B" w:rsidRDefault="002146A9" w:rsidP="009950D2">
      <w:pPr>
        <w:pStyle w:val="ListParagraph"/>
        <w:ind w:left="0"/>
        <w:rPr>
          <w:rFonts w:cstheme="minorHAnsi"/>
          <w:b/>
        </w:rPr>
      </w:pPr>
    </w:p>
    <w:p w14:paraId="5CC7C2A4" w14:textId="77777777" w:rsidR="002B672B" w:rsidRDefault="002B672B" w:rsidP="009950D2">
      <w:pPr>
        <w:pStyle w:val="ListParagraph"/>
        <w:ind w:left="0"/>
        <w:rPr>
          <w:rFonts w:cstheme="minorHAnsi"/>
          <w:b/>
        </w:rPr>
      </w:pPr>
    </w:p>
    <w:p w14:paraId="75F92D7E" w14:textId="3F6D3CF1" w:rsidR="002146A9" w:rsidRPr="002B672B" w:rsidRDefault="002146A9" w:rsidP="009950D2">
      <w:pPr>
        <w:pStyle w:val="ListParagraph"/>
        <w:ind w:left="0"/>
        <w:rPr>
          <w:rFonts w:cstheme="minorHAnsi"/>
          <w:b/>
        </w:rPr>
      </w:pPr>
      <w:r w:rsidRPr="002B672B">
        <w:rPr>
          <w:rFonts w:cstheme="minorHAnsi"/>
          <w:b/>
        </w:rPr>
        <w:t>Remdesivir</w:t>
      </w:r>
    </w:p>
    <w:p w14:paraId="45FBD351" w14:textId="77777777" w:rsidR="002146A9" w:rsidRPr="002B672B" w:rsidRDefault="002146A9" w:rsidP="002146A9">
      <w:pPr>
        <w:rPr>
          <w:rFonts w:cstheme="minorHAnsi"/>
        </w:rPr>
      </w:pPr>
      <w:r w:rsidRPr="002B672B">
        <w:rPr>
          <w:rFonts w:cstheme="minorHAnsi"/>
        </w:rPr>
        <w:t xml:space="preserve">Renal and hepatic function should be monitored </w:t>
      </w:r>
      <w:r w:rsidRPr="002B672B">
        <w:rPr>
          <w:rFonts w:cstheme="minorHAnsi"/>
          <w:b/>
        </w:rPr>
        <w:t>daily throughout treatment.</w:t>
      </w:r>
    </w:p>
    <w:p w14:paraId="55082AC0" w14:textId="5B1CCEF9" w:rsidR="002146A9" w:rsidRPr="002B672B" w:rsidRDefault="002146A9" w:rsidP="002146A9">
      <w:pPr>
        <w:pStyle w:val="ListParagraph"/>
        <w:numPr>
          <w:ilvl w:val="0"/>
          <w:numId w:val="36"/>
        </w:numPr>
        <w:rPr>
          <w:rFonts w:cstheme="minorHAnsi"/>
        </w:rPr>
      </w:pPr>
      <w:r w:rsidRPr="002B672B">
        <w:rPr>
          <w:rFonts w:cstheme="minorHAnsi"/>
        </w:rPr>
        <w:t>Discontinue remdesivir if ALT ≥ 5 times upper limit of normal or ALT elevation with signs or symptoms of liver inflammation or increasing bilirubin, alkaline phosphatase or INR</w:t>
      </w:r>
    </w:p>
    <w:p w14:paraId="7D167466" w14:textId="7B3CFC79" w:rsidR="002146A9" w:rsidRPr="002B672B" w:rsidRDefault="002146A9" w:rsidP="002146A9">
      <w:pPr>
        <w:pStyle w:val="ListParagraph"/>
        <w:numPr>
          <w:ilvl w:val="0"/>
          <w:numId w:val="36"/>
        </w:numPr>
        <w:rPr>
          <w:rFonts w:cstheme="minorHAnsi"/>
        </w:rPr>
      </w:pPr>
      <w:r w:rsidRPr="002B672B">
        <w:rPr>
          <w:rFonts w:cstheme="minorHAnsi"/>
        </w:rPr>
        <w:t>Discontinue remdesivir if CrCl &lt;30mL/min or renal replacement therapy required</w:t>
      </w:r>
    </w:p>
    <w:p w14:paraId="42143ACF" w14:textId="77777777" w:rsidR="002146A9" w:rsidRPr="002B672B" w:rsidRDefault="002146A9" w:rsidP="002146A9">
      <w:pPr>
        <w:pStyle w:val="ListParagraph"/>
        <w:tabs>
          <w:tab w:val="left" w:pos="1080"/>
        </w:tabs>
        <w:spacing w:after="0" w:line="0" w:lineRule="atLeast"/>
        <w:contextualSpacing w:val="0"/>
        <w:rPr>
          <w:rFonts w:eastAsia="Symbol" w:cstheme="minorHAnsi"/>
        </w:rPr>
      </w:pPr>
    </w:p>
    <w:p w14:paraId="7CD4762B" w14:textId="16F09558" w:rsidR="002146A9" w:rsidRPr="002B672B" w:rsidRDefault="002146A9" w:rsidP="002146A9">
      <w:pPr>
        <w:rPr>
          <w:rStyle w:val="markedcontent"/>
          <w:rFonts w:cstheme="minorHAnsi"/>
        </w:rPr>
      </w:pPr>
      <w:r w:rsidRPr="002B672B">
        <w:rPr>
          <w:rStyle w:val="markedcontent"/>
          <w:rFonts w:cstheme="minorHAnsi"/>
        </w:rPr>
        <w:t>Hypersensitivity reactions including infusion-related and anaphylactic reactions have been</w:t>
      </w:r>
      <w:r w:rsidRPr="002B672B">
        <w:rPr>
          <w:rFonts w:cstheme="minorHAnsi"/>
        </w:rPr>
        <w:t xml:space="preserve"> </w:t>
      </w:r>
      <w:r w:rsidRPr="002B672B">
        <w:rPr>
          <w:rStyle w:val="markedcontent"/>
          <w:rFonts w:cstheme="minorHAnsi"/>
        </w:rPr>
        <w:t xml:space="preserve">observed during and following administration of remdesivir. </w:t>
      </w:r>
      <w:r w:rsidRPr="002B672B">
        <w:rPr>
          <w:rFonts w:cstheme="minorHAnsi"/>
          <w:b/>
        </w:rPr>
        <w:t>The patient should be monitored closely during infusion and for one hour after the infusion</w:t>
      </w:r>
      <w:r w:rsidRPr="002B672B">
        <w:rPr>
          <w:rStyle w:val="markedcontent"/>
          <w:rFonts w:cstheme="minorHAnsi"/>
        </w:rPr>
        <w:t xml:space="preserve"> Signs and symptoms may</w:t>
      </w:r>
      <w:r w:rsidRPr="002B672B">
        <w:rPr>
          <w:rFonts w:cstheme="minorHAnsi"/>
        </w:rPr>
        <w:t xml:space="preserve"> </w:t>
      </w:r>
      <w:r w:rsidRPr="002B672B">
        <w:rPr>
          <w:rStyle w:val="markedcontent"/>
          <w:rFonts w:cstheme="minorHAnsi"/>
        </w:rPr>
        <w:t>include hypotension, hypertension, tachycardia, bradycardia, hypoxia, fever, dyspnoea,</w:t>
      </w:r>
      <w:r w:rsidRPr="002B672B">
        <w:rPr>
          <w:rFonts w:cstheme="minorHAnsi"/>
        </w:rPr>
        <w:t xml:space="preserve"> </w:t>
      </w:r>
      <w:r w:rsidRPr="002B672B">
        <w:rPr>
          <w:rStyle w:val="markedcontent"/>
          <w:rFonts w:cstheme="minorHAnsi"/>
        </w:rPr>
        <w:t xml:space="preserve">wheezing, angioedema, rash, nausea, vomiting, diaphoresis, and shivering. </w:t>
      </w:r>
    </w:p>
    <w:p w14:paraId="374B3285" w14:textId="5CA161D9" w:rsidR="003E2FB5" w:rsidRPr="002B672B" w:rsidRDefault="002146A9" w:rsidP="002146A9">
      <w:pPr>
        <w:rPr>
          <w:rFonts w:cstheme="minorHAnsi"/>
        </w:rPr>
      </w:pPr>
      <w:r w:rsidRPr="002B672B">
        <w:rPr>
          <w:rFonts w:cstheme="minorHAnsi"/>
        </w:rPr>
        <w:t>Slower infusion rates, with a maximum infusion time of up to 120 minutes, may prevent these signs and symptoms but if clinically significant hypersensitivity occurs immediately discontinue remdesivir and manage the reaction appropriately.</w:t>
      </w:r>
    </w:p>
    <w:p w14:paraId="0DEA7D09" w14:textId="77777777" w:rsidR="009325D5" w:rsidRPr="002B672B" w:rsidRDefault="009325D5" w:rsidP="002146A9">
      <w:pPr>
        <w:rPr>
          <w:rFonts w:cstheme="minorHAnsi"/>
          <w:b/>
          <w:u w:val="single"/>
        </w:rPr>
      </w:pPr>
    </w:p>
    <w:p w14:paraId="3669EE85" w14:textId="289597BA" w:rsidR="005F2C40" w:rsidRPr="002B672B" w:rsidRDefault="00621A16" w:rsidP="002146A9">
      <w:pPr>
        <w:rPr>
          <w:rFonts w:cstheme="minorHAnsi"/>
          <w:u w:val="single"/>
        </w:rPr>
      </w:pPr>
      <w:r w:rsidRPr="002B672B">
        <w:rPr>
          <w:rFonts w:cstheme="minorHAnsi"/>
          <w:b/>
          <w:u w:val="single"/>
        </w:rPr>
        <w:t>Safety reporting</w:t>
      </w:r>
    </w:p>
    <w:p w14:paraId="39BAC3C9" w14:textId="77777777" w:rsidR="00C317C4" w:rsidRPr="002B672B" w:rsidRDefault="00621A16" w:rsidP="002146A9">
      <w:pPr>
        <w:rPr>
          <w:rFonts w:cstheme="minorHAnsi"/>
        </w:rPr>
      </w:pPr>
      <w:r w:rsidRPr="002B672B">
        <w:rPr>
          <w:rFonts w:cstheme="minorHAnsi"/>
          <w:u w:val="single"/>
        </w:rPr>
        <w:t>Tocilizumab</w:t>
      </w:r>
      <w:r w:rsidRPr="002B672B">
        <w:rPr>
          <w:rFonts w:cstheme="minorHAnsi"/>
        </w:rPr>
        <w:t xml:space="preserve"> has recently been approved for use for </w:t>
      </w:r>
      <w:r w:rsidR="00C317C4" w:rsidRPr="002B672B">
        <w:rPr>
          <w:rFonts w:cstheme="minorHAnsi"/>
        </w:rPr>
        <w:t>‘the treatment of COVID-19 in adults who are receiving systemic corticosteroids and require supplemental oxygen or mechanical ventilation’.</w:t>
      </w:r>
    </w:p>
    <w:p w14:paraId="304877D6" w14:textId="25C1DB9C" w:rsidR="00C317C4" w:rsidRPr="002B672B" w:rsidRDefault="00621A16" w:rsidP="002146A9">
      <w:pPr>
        <w:rPr>
          <w:rFonts w:cstheme="minorHAnsi"/>
        </w:rPr>
      </w:pPr>
      <w:r w:rsidRPr="002B672B">
        <w:rPr>
          <w:rFonts w:cstheme="minorHAnsi"/>
          <w:u w:val="single"/>
        </w:rPr>
        <w:t>Sarilumab</w:t>
      </w:r>
      <w:r w:rsidR="005F2C40" w:rsidRPr="002B672B">
        <w:rPr>
          <w:rFonts w:cstheme="minorHAnsi"/>
        </w:rPr>
        <w:t xml:space="preserve"> do</w:t>
      </w:r>
      <w:r w:rsidRPr="002B672B">
        <w:rPr>
          <w:rFonts w:cstheme="minorHAnsi"/>
        </w:rPr>
        <w:t>es</w:t>
      </w:r>
      <w:r w:rsidR="005F2C40" w:rsidRPr="002B672B">
        <w:rPr>
          <w:rFonts w:cstheme="minorHAnsi"/>
        </w:rPr>
        <w:t xml:space="preserve"> not yet have a licence (marketing authorisation) for use in COVID-19 and therefore</w:t>
      </w:r>
      <w:r w:rsidR="00C317C4" w:rsidRPr="002B672B">
        <w:rPr>
          <w:rFonts w:cstheme="minorHAnsi"/>
        </w:rPr>
        <w:t xml:space="preserve"> tocilizumab as the licensed preparation should be used first line for the above indication where national stock levels allow. Sarilumab may otherwise be used in place of tocilizumab if stock cannot be obtained.</w:t>
      </w:r>
    </w:p>
    <w:p w14:paraId="1912BBF4" w14:textId="66FDCE75" w:rsidR="009325D5" w:rsidRPr="002B672B" w:rsidRDefault="009325D5" w:rsidP="002146A9">
      <w:pPr>
        <w:rPr>
          <w:rFonts w:cstheme="minorHAnsi"/>
          <w:b/>
          <w:bCs/>
        </w:rPr>
      </w:pPr>
      <w:r w:rsidRPr="002B672B">
        <w:rPr>
          <w:rFonts w:cstheme="minorHAnsi"/>
          <w:u w:val="single"/>
        </w:rPr>
        <w:lastRenderedPageBreak/>
        <w:t>Baricitinib</w:t>
      </w:r>
      <w:r w:rsidRPr="002B672B">
        <w:rPr>
          <w:rFonts w:cstheme="minorHAnsi"/>
        </w:rPr>
        <w:t xml:space="preserve"> has a marketing authorisation for</w:t>
      </w:r>
      <w:r w:rsidRPr="002B672B">
        <w:rPr>
          <w:rFonts w:cstheme="minorHAnsi"/>
          <w:color w:val="000000"/>
        </w:rPr>
        <w:t xml:space="preserve"> use in adults with moderate to seve</w:t>
      </w:r>
      <w:r w:rsidRPr="002B672B">
        <w:rPr>
          <w:rFonts w:cstheme="minorHAnsi"/>
        </w:rPr>
        <w:t>re active rheumatoid arthritis and a</w:t>
      </w:r>
      <w:r w:rsidRPr="002B672B">
        <w:rPr>
          <w:rFonts w:cstheme="minorHAnsi"/>
          <w:color w:val="000000"/>
        </w:rPr>
        <w:t>dults with modera</w:t>
      </w:r>
      <w:r w:rsidRPr="002B672B">
        <w:rPr>
          <w:rFonts w:cstheme="minorHAnsi"/>
        </w:rPr>
        <w:t xml:space="preserve">te to severe atopic dermatitis. </w:t>
      </w:r>
      <w:r w:rsidRPr="002B672B">
        <w:rPr>
          <w:rFonts w:cstheme="minorHAnsi"/>
          <w:bCs/>
          <w:color w:val="000000"/>
        </w:rPr>
        <w:t>The use of baricitinib in COVID-19 is off label</w:t>
      </w:r>
      <w:r w:rsidRPr="002B672B">
        <w:rPr>
          <w:rFonts w:cstheme="minorHAnsi"/>
          <w:bCs/>
        </w:rPr>
        <w:t>.</w:t>
      </w:r>
    </w:p>
    <w:p w14:paraId="038052A8" w14:textId="6137E39A" w:rsidR="002146A9" w:rsidRPr="002B672B" w:rsidRDefault="002146A9" w:rsidP="002146A9">
      <w:pPr>
        <w:rPr>
          <w:rFonts w:cstheme="minorHAnsi"/>
        </w:rPr>
      </w:pPr>
      <w:r w:rsidRPr="002B672B">
        <w:rPr>
          <w:rFonts w:cstheme="minorHAnsi"/>
          <w:u w:val="single"/>
        </w:rPr>
        <w:t xml:space="preserve">Remdesivir </w:t>
      </w:r>
      <w:r w:rsidRPr="002B672B">
        <w:rPr>
          <w:rFonts w:cstheme="minorHAnsi"/>
        </w:rPr>
        <w:t xml:space="preserve">delivered intravenously has conditional marketing authorisation in the UK for treatment of COVID-19 in adults and adolescents (aged 12 years and over and weighing at least 40kg) with pneumonia requiring supplemental oxygen (low- or high-flow oxygen or other non-invasive ventilation at start of treatment), for a treatment duration of 5-10 days. </w:t>
      </w:r>
    </w:p>
    <w:p w14:paraId="200EA2A9" w14:textId="6CEFAA94" w:rsidR="002146A9" w:rsidRPr="002B672B" w:rsidRDefault="002146A9" w:rsidP="002146A9">
      <w:pPr>
        <w:rPr>
          <w:rFonts w:cstheme="minorHAnsi"/>
        </w:rPr>
      </w:pPr>
      <w:r w:rsidRPr="002B672B">
        <w:rPr>
          <w:rFonts w:cstheme="minorHAnsi"/>
        </w:rPr>
        <w:t xml:space="preserve">Marketing authorisation variation for Great Britain is currently being considered by the Medicines and Healthcare </w:t>
      </w:r>
      <w:proofErr w:type="gramStart"/>
      <w:r w:rsidRPr="002B672B">
        <w:rPr>
          <w:rFonts w:cstheme="minorHAnsi"/>
        </w:rPr>
        <w:t>products</w:t>
      </w:r>
      <w:proofErr w:type="gramEnd"/>
      <w:r w:rsidRPr="002B672B">
        <w:rPr>
          <w:rFonts w:cstheme="minorHAnsi"/>
        </w:rPr>
        <w:t xml:space="preserve"> Regulatory Authority (MHRA) under the ‘reliance route’.</w:t>
      </w:r>
    </w:p>
    <w:p w14:paraId="7A8CA81C" w14:textId="77777777" w:rsidR="002146A9" w:rsidRPr="002B672B" w:rsidRDefault="002146A9" w:rsidP="002146A9">
      <w:pPr>
        <w:rPr>
          <w:rFonts w:cstheme="minorHAnsi"/>
        </w:rPr>
      </w:pPr>
    </w:p>
    <w:p w14:paraId="18F04846" w14:textId="508B36C4" w:rsidR="005F2C40" w:rsidRPr="002B672B" w:rsidRDefault="00C317C4" w:rsidP="002146A9">
      <w:pPr>
        <w:rPr>
          <w:rStyle w:val="Hyperlink"/>
          <w:rFonts w:cstheme="minorHAnsi"/>
        </w:rPr>
      </w:pPr>
      <w:r w:rsidRPr="002B672B">
        <w:rPr>
          <w:rFonts w:cstheme="minorHAnsi"/>
        </w:rPr>
        <w:t>I</w:t>
      </w:r>
      <w:r w:rsidR="005F2C40" w:rsidRPr="002B672B">
        <w:rPr>
          <w:rFonts w:cstheme="minorHAnsi"/>
        </w:rPr>
        <w:t xml:space="preserve">t is vital that any serious suspected adverse reactions </w:t>
      </w:r>
      <w:r w:rsidR="002146A9" w:rsidRPr="002B672B">
        <w:rPr>
          <w:rFonts w:cstheme="minorHAnsi"/>
        </w:rPr>
        <w:t>from any of the drugs in this guideline</w:t>
      </w:r>
      <w:r w:rsidRPr="002B672B">
        <w:rPr>
          <w:rFonts w:cstheme="minorHAnsi"/>
        </w:rPr>
        <w:t xml:space="preserve"> drug </w:t>
      </w:r>
      <w:r w:rsidR="005F2C40" w:rsidRPr="002B672B">
        <w:rPr>
          <w:rFonts w:cstheme="minorHAnsi"/>
        </w:rPr>
        <w:t xml:space="preserve">are reported directly to the MHRA via the new dedicated COVID-19 Yellow Card reporting site at: </w:t>
      </w:r>
      <w:hyperlink r:id="rId23" w:history="1">
        <w:r w:rsidR="005F2C40" w:rsidRPr="002B672B">
          <w:rPr>
            <w:rStyle w:val="Hyperlink"/>
            <w:rFonts w:cstheme="minorHAnsi"/>
          </w:rPr>
          <w:t>https://coronavirus-yellowcard.mhra.gov.uk/</w:t>
        </w:r>
      </w:hyperlink>
    </w:p>
    <w:p w14:paraId="36D1770A" w14:textId="77777777" w:rsidR="002B672B" w:rsidRDefault="002B672B" w:rsidP="00F16CBB">
      <w:pPr>
        <w:pStyle w:val="Default"/>
        <w:rPr>
          <w:rStyle w:val="Hyperlink"/>
          <w:rFonts w:asciiTheme="minorHAnsi" w:hAnsiTheme="minorHAnsi" w:cstheme="minorHAnsi"/>
          <w:b/>
          <w:color w:val="auto"/>
          <w:sz w:val="22"/>
          <w:szCs w:val="22"/>
        </w:rPr>
      </w:pPr>
    </w:p>
    <w:p w14:paraId="6302BBC1" w14:textId="77777777" w:rsidR="002B672B" w:rsidRDefault="002B672B" w:rsidP="00F16CBB">
      <w:pPr>
        <w:pStyle w:val="Default"/>
        <w:rPr>
          <w:rStyle w:val="Hyperlink"/>
          <w:rFonts w:asciiTheme="minorHAnsi" w:hAnsiTheme="minorHAnsi" w:cstheme="minorHAnsi"/>
          <w:b/>
          <w:color w:val="auto"/>
          <w:sz w:val="22"/>
          <w:szCs w:val="22"/>
        </w:rPr>
      </w:pPr>
    </w:p>
    <w:p w14:paraId="68A50836" w14:textId="77777777" w:rsidR="002B672B" w:rsidRDefault="002B672B" w:rsidP="00F16CBB">
      <w:pPr>
        <w:pStyle w:val="Default"/>
        <w:rPr>
          <w:rStyle w:val="Hyperlink"/>
          <w:rFonts w:asciiTheme="minorHAnsi" w:hAnsiTheme="minorHAnsi" w:cstheme="minorHAnsi"/>
          <w:b/>
          <w:color w:val="auto"/>
          <w:sz w:val="22"/>
          <w:szCs w:val="22"/>
        </w:rPr>
      </w:pPr>
    </w:p>
    <w:p w14:paraId="7427EE4E" w14:textId="77777777" w:rsidR="002B672B" w:rsidRDefault="002B672B" w:rsidP="00F16CBB">
      <w:pPr>
        <w:pStyle w:val="Default"/>
        <w:rPr>
          <w:rStyle w:val="Hyperlink"/>
          <w:rFonts w:asciiTheme="minorHAnsi" w:hAnsiTheme="minorHAnsi" w:cstheme="minorHAnsi"/>
          <w:b/>
          <w:color w:val="auto"/>
          <w:sz w:val="22"/>
          <w:szCs w:val="22"/>
        </w:rPr>
      </w:pPr>
    </w:p>
    <w:p w14:paraId="5FBC17AC" w14:textId="77777777" w:rsidR="002B672B" w:rsidRDefault="002B672B" w:rsidP="00F16CBB">
      <w:pPr>
        <w:pStyle w:val="Default"/>
        <w:rPr>
          <w:rStyle w:val="Hyperlink"/>
          <w:rFonts w:asciiTheme="minorHAnsi" w:hAnsiTheme="minorHAnsi" w:cstheme="minorHAnsi"/>
          <w:b/>
          <w:color w:val="auto"/>
          <w:sz w:val="22"/>
          <w:szCs w:val="22"/>
        </w:rPr>
      </w:pPr>
    </w:p>
    <w:p w14:paraId="7AC110D2" w14:textId="77777777" w:rsidR="002B672B" w:rsidRDefault="002B672B" w:rsidP="00F16CBB">
      <w:pPr>
        <w:pStyle w:val="Default"/>
        <w:rPr>
          <w:rStyle w:val="Hyperlink"/>
          <w:rFonts w:asciiTheme="minorHAnsi" w:hAnsiTheme="minorHAnsi" w:cstheme="minorHAnsi"/>
          <w:b/>
          <w:color w:val="auto"/>
          <w:sz w:val="22"/>
          <w:szCs w:val="22"/>
        </w:rPr>
      </w:pPr>
    </w:p>
    <w:p w14:paraId="0DF37527" w14:textId="77777777" w:rsidR="002B672B" w:rsidRDefault="002B672B" w:rsidP="00F16CBB">
      <w:pPr>
        <w:pStyle w:val="Default"/>
        <w:rPr>
          <w:rStyle w:val="Hyperlink"/>
          <w:rFonts w:asciiTheme="minorHAnsi" w:hAnsiTheme="minorHAnsi" w:cstheme="minorHAnsi"/>
          <w:b/>
          <w:color w:val="auto"/>
          <w:sz w:val="22"/>
          <w:szCs w:val="22"/>
        </w:rPr>
      </w:pPr>
    </w:p>
    <w:p w14:paraId="04672D8E" w14:textId="77777777" w:rsidR="002B672B" w:rsidRDefault="002B672B" w:rsidP="00F16CBB">
      <w:pPr>
        <w:pStyle w:val="Default"/>
        <w:rPr>
          <w:rStyle w:val="Hyperlink"/>
          <w:rFonts w:asciiTheme="minorHAnsi" w:hAnsiTheme="minorHAnsi" w:cstheme="minorHAnsi"/>
          <w:b/>
          <w:color w:val="auto"/>
          <w:sz w:val="22"/>
          <w:szCs w:val="22"/>
        </w:rPr>
      </w:pPr>
    </w:p>
    <w:p w14:paraId="0D421AC9" w14:textId="77777777" w:rsidR="002B672B" w:rsidRDefault="002B672B" w:rsidP="00F16CBB">
      <w:pPr>
        <w:pStyle w:val="Default"/>
        <w:rPr>
          <w:rStyle w:val="Hyperlink"/>
          <w:rFonts w:asciiTheme="minorHAnsi" w:hAnsiTheme="minorHAnsi" w:cstheme="minorHAnsi"/>
          <w:b/>
          <w:color w:val="auto"/>
          <w:sz w:val="22"/>
          <w:szCs w:val="22"/>
        </w:rPr>
      </w:pPr>
    </w:p>
    <w:p w14:paraId="27044DB8" w14:textId="77777777" w:rsidR="002B672B" w:rsidRDefault="002B672B" w:rsidP="00F16CBB">
      <w:pPr>
        <w:pStyle w:val="Default"/>
        <w:rPr>
          <w:rStyle w:val="Hyperlink"/>
          <w:rFonts w:asciiTheme="minorHAnsi" w:hAnsiTheme="minorHAnsi" w:cstheme="minorHAnsi"/>
          <w:b/>
          <w:color w:val="auto"/>
          <w:sz w:val="22"/>
          <w:szCs w:val="22"/>
        </w:rPr>
      </w:pPr>
    </w:p>
    <w:p w14:paraId="4EAC1B8F" w14:textId="77777777" w:rsidR="002B672B" w:rsidRDefault="002B672B" w:rsidP="00F16CBB">
      <w:pPr>
        <w:pStyle w:val="Default"/>
        <w:rPr>
          <w:rStyle w:val="Hyperlink"/>
          <w:rFonts w:asciiTheme="minorHAnsi" w:hAnsiTheme="minorHAnsi" w:cstheme="minorHAnsi"/>
          <w:b/>
          <w:color w:val="auto"/>
          <w:sz w:val="22"/>
          <w:szCs w:val="22"/>
        </w:rPr>
      </w:pPr>
    </w:p>
    <w:p w14:paraId="1BA5CE95" w14:textId="77777777" w:rsidR="002B672B" w:rsidRDefault="002B672B" w:rsidP="00F16CBB">
      <w:pPr>
        <w:pStyle w:val="Default"/>
        <w:rPr>
          <w:rStyle w:val="Hyperlink"/>
          <w:rFonts w:asciiTheme="minorHAnsi" w:hAnsiTheme="minorHAnsi" w:cstheme="minorHAnsi"/>
          <w:b/>
          <w:color w:val="auto"/>
          <w:sz w:val="22"/>
          <w:szCs w:val="22"/>
        </w:rPr>
      </w:pPr>
    </w:p>
    <w:p w14:paraId="2A8480BE" w14:textId="10F17F1A" w:rsidR="002146A9" w:rsidRPr="002B672B" w:rsidRDefault="002146A9" w:rsidP="00F16CBB">
      <w:pPr>
        <w:pStyle w:val="Default"/>
        <w:rPr>
          <w:rStyle w:val="Hyperlink"/>
          <w:rFonts w:asciiTheme="minorHAnsi" w:hAnsiTheme="minorHAnsi" w:cstheme="minorHAnsi"/>
          <w:color w:val="auto"/>
          <w:sz w:val="22"/>
          <w:szCs w:val="22"/>
          <w:u w:val="none"/>
        </w:rPr>
      </w:pPr>
      <w:r w:rsidRPr="002B672B">
        <w:rPr>
          <w:rStyle w:val="Hyperlink"/>
          <w:rFonts w:asciiTheme="minorHAnsi" w:hAnsiTheme="minorHAnsi" w:cstheme="minorHAnsi"/>
          <w:b/>
          <w:color w:val="auto"/>
          <w:sz w:val="22"/>
          <w:szCs w:val="22"/>
        </w:rPr>
        <w:t>Appendix</w:t>
      </w:r>
      <w:r w:rsidR="00F16CBB" w:rsidRPr="002B672B">
        <w:rPr>
          <w:rStyle w:val="Hyperlink"/>
          <w:rFonts w:asciiTheme="minorHAnsi" w:hAnsiTheme="minorHAnsi" w:cstheme="minorHAnsi"/>
          <w:b/>
          <w:color w:val="auto"/>
          <w:sz w:val="22"/>
          <w:szCs w:val="22"/>
        </w:rPr>
        <w:t xml:space="preserve"> 1</w:t>
      </w:r>
      <w:r w:rsidR="00F16CBB" w:rsidRPr="002B672B">
        <w:rPr>
          <w:rStyle w:val="Hyperlink"/>
          <w:rFonts w:asciiTheme="minorHAnsi" w:hAnsiTheme="minorHAnsi" w:cstheme="minorHAnsi"/>
          <w:color w:val="auto"/>
          <w:sz w:val="22"/>
          <w:szCs w:val="22"/>
          <w:u w:val="none"/>
        </w:rPr>
        <w:t xml:space="preserve"> </w:t>
      </w:r>
    </w:p>
    <w:p w14:paraId="0598BEB7" w14:textId="77777777" w:rsidR="002146A9" w:rsidRPr="002B672B" w:rsidRDefault="002146A9" w:rsidP="00F16CBB">
      <w:pPr>
        <w:pStyle w:val="Default"/>
        <w:rPr>
          <w:rStyle w:val="Hyperlink"/>
          <w:rFonts w:asciiTheme="minorHAnsi" w:hAnsiTheme="minorHAnsi" w:cstheme="minorHAnsi"/>
          <w:color w:val="auto"/>
          <w:sz w:val="22"/>
          <w:szCs w:val="22"/>
          <w:u w:val="none"/>
        </w:rPr>
      </w:pPr>
    </w:p>
    <w:p w14:paraId="50825263" w14:textId="7729DCB9" w:rsidR="00F16CBB" w:rsidRPr="002B672B" w:rsidRDefault="002146A9" w:rsidP="00F16CBB">
      <w:pPr>
        <w:pStyle w:val="Default"/>
        <w:rPr>
          <w:rFonts w:asciiTheme="minorHAnsi" w:hAnsiTheme="minorHAnsi" w:cstheme="minorHAnsi"/>
          <w:sz w:val="22"/>
          <w:szCs w:val="22"/>
        </w:rPr>
      </w:pPr>
      <w:r w:rsidRPr="002B672B">
        <w:rPr>
          <w:rFonts w:asciiTheme="minorHAnsi" w:hAnsiTheme="minorHAnsi" w:cstheme="minorHAnsi"/>
          <w:sz w:val="22"/>
          <w:szCs w:val="22"/>
        </w:rPr>
        <w:t>L</w:t>
      </w:r>
      <w:r w:rsidR="00F16CBB" w:rsidRPr="002B672B">
        <w:rPr>
          <w:rFonts w:asciiTheme="minorHAnsi" w:hAnsiTheme="minorHAnsi" w:cstheme="minorHAnsi"/>
          <w:sz w:val="22"/>
          <w:szCs w:val="22"/>
        </w:rPr>
        <w:t xml:space="preserve">ist of conditions and treatments resulting in on-going immunosuppression (Reference JCVI List </w:t>
      </w:r>
      <w:r w:rsidR="00F16CBB" w:rsidRPr="002B672B">
        <w:rPr>
          <w:rFonts w:asciiTheme="minorHAnsi" w:hAnsiTheme="minorHAnsi" w:cstheme="minorHAnsi"/>
          <w:bCs/>
          <w:sz w:val="22"/>
          <w:szCs w:val="22"/>
        </w:rPr>
        <w:t xml:space="preserve">immunosuppressed individuals NHS Official Letter Reference </w:t>
      </w:r>
      <w:hyperlink r:id="rId24" w:history="1">
        <w:r w:rsidR="00F16CBB" w:rsidRPr="002B672B">
          <w:rPr>
            <w:rStyle w:val="Hyperlink"/>
            <w:rFonts w:asciiTheme="minorHAnsi" w:hAnsiTheme="minorHAnsi" w:cstheme="minorHAnsi"/>
            <w:bCs/>
            <w:sz w:val="22"/>
            <w:szCs w:val="22"/>
          </w:rPr>
          <w:t>C1399</w:t>
        </w:r>
      </w:hyperlink>
      <w:r w:rsidR="00F16CBB" w:rsidRPr="002B672B">
        <w:rPr>
          <w:rFonts w:asciiTheme="minorHAnsi" w:hAnsiTheme="minorHAnsi" w:cstheme="minorHAnsi"/>
          <w:bCs/>
          <w:sz w:val="22"/>
          <w:szCs w:val="22"/>
        </w:rPr>
        <w:t xml:space="preserve"> 2</w:t>
      </w:r>
      <w:r w:rsidR="00F16CBB" w:rsidRPr="002B672B">
        <w:rPr>
          <w:rFonts w:asciiTheme="minorHAnsi" w:hAnsiTheme="minorHAnsi" w:cstheme="minorHAnsi"/>
          <w:bCs/>
          <w:sz w:val="22"/>
          <w:szCs w:val="22"/>
          <w:vertAlign w:val="superscript"/>
        </w:rPr>
        <w:t>nd</w:t>
      </w:r>
      <w:r w:rsidR="00F16CBB" w:rsidRPr="002B672B">
        <w:rPr>
          <w:rFonts w:asciiTheme="minorHAnsi" w:hAnsiTheme="minorHAnsi" w:cstheme="minorHAnsi"/>
          <w:bCs/>
          <w:sz w:val="22"/>
          <w:szCs w:val="22"/>
        </w:rPr>
        <w:t xml:space="preserve"> September 2021</w:t>
      </w:r>
      <w:r w:rsidR="00F16CBB" w:rsidRPr="002B672B">
        <w:rPr>
          <w:rFonts w:asciiTheme="minorHAnsi" w:hAnsiTheme="minorHAnsi" w:cstheme="minorHAnsi"/>
          <w:sz w:val="22"/>
          <w:szCs w:val="22"/>
        </w:rPr>
        <w:t>)</w:t>
      </w:r>
    </w:p>
    <w:p w14:paraId="4C714360" w14:textId="77777777" w:rsidR="00773D76" w:rsidRPr="002B672B" w:rsidRDefault="00773D76" w:rsidP="00F16CBB">
      <w:pPr>
        <w:pStyle w:val="Default"/>
        <w:rPr>
          <w:rFonts w:asciiTheme="minorHAnsi" w:hAnsiTheme="minorHAnsi" w:cstheme="minorHAnsi"/>
          <w:sz w:val="22"/>
          <w:szCs w:val="22"/>
        </w:rPr>
      </w:pPr>
    </w:p>
    <w:p w14:paraId="46ABB12D" w14:textId="5D89C06E" w:rsidR="00F16CBB" w:rsidRPr="002B672B" w:rsidRDefault="00F16CBB" w:rsidP="00F16CBB">
      <w:pPr>
        <w:pStyle w:val="Default"/>
        <w:numPr>
          <w:ilvl w:val="0"/>
          <w:numId w:val="17"/>
        </w:numPr>
        <w:rPr>
          <w:rFonts w:asciiTheme="minorHAnsi" w:hAnsiTheme="minorHAnsi" w:cstheme="minorHAnsi"/>
          <w:sz w:val="22"/>
          <w:szCs w:val="22"/>
        </w:rPr>
      </w:pPr>
      <w:r w:rsidRPr="002B672B">
        <w:rPr>
          <w:rFonts w:asciiTheme="minorHAnsi" w:hAnsiTheme="minorHAnsi" w:cstheme="minorHAnsi"/>
          <w:sz w:val="22"/>
          <w:szCs w:val="22"/>
        </w:rPr>
        <w:t xml:space="preserve">Individuals with primary or acquired immunodeficiency states at the time of treatment due to conditions including: </w:t>
      </w:r>
    </w:p>
    <w:p w14:paraId="76832EA4" w14:textId="51766DB2"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acute and chronic </w:t>
      </w:r>
      <w:proofErr w:type="spellStart"/>
      <w:r w:rsidRPr="002B672B">
        <w:rPr>
          <w:rFonts w:asciiTheme="minorHAnsi" w:hAnsiTheme="minorHAnsi" w:cstheme="minorHAnsi"/>
          <w:sz w:val="22"/>
          <w:szCs w:val="22"/>
        </w:rPr>
        <w:t>leukaemias</w:t>
      </w:r>
      <w:proofErr w:type="spellEnd"/>
      <w:r w:rsidRPr="002B672B">
        <w:rPr>
          <w:rFonts w:asciiTheme="minorHAnsi" w:hAnsiTheme="minorHAnsi" w:cstheme="minorHAnsi"/>
          <w:sz w:val="22"/>
          <w:szCs w:val="22"/>
        </w:rPr>
        <w:t xml:space="preserve">, and clinically aggressive lymphomas (including Hodgkin’s lymphoma) who were under treatment or within 12 months of achieving cure </w:t>
      </w:r>
    </w:p>
    <w:p w14:paraId="30216E11"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individuals under follow up for chronic lymphoproliferative disorders including haematological malignancies such as indolent lymphoma, chronic lymphoid leukaemia, myeloma, </w:t>
      </w:r>
      <w:proofErr w:type="spellStart"/>
      <w:r w:rsidRPr="002B672B">
        <w:rPr>
          <w:rFonts w:asciiTheme="minorHAnsi" w:hAnsiTheme="minorHAnsi" w:cstheme="minorHAnsi"/>
          <w:sz w:val="22"/>
          <w:szCs w:val="22"/>
        </w:rPr>
        <w:t>Waldenstrom’s</w:t>
      </w:r>
      <w:proofErr w:type="spellEnd"/>
      <w:r w:rsidRPr="002B672B">
        <w:rPr>
          <w:rFonts w:asciiTheme="minorHAnsi" w:hAnsiTheme="minorHAnsi" w:cstheme="minorHAnsi"/>
          <w:sz w:val="22"/>
          <w:szCs w:val="22"/>
        </w:rPr>
        <w:t xml:space="preserve"> </w:t>
      </w:r>
      <w:proofErr w:type="spellStart"/>
      <w:r w:rsidRPr="002B672B">
        <w:rPr>
          <w:rFonts w:asciiTheme="minorHAnsi" w:hAnsiTheme="minorHAnsi" w:cstheme="minorHAnsi"/>
          <w:sz w:val="22"/>
          <w:szCs w:val="22"/>
        </w:rPr>
        <w:t>macroglobulinemia</w:t>
      </w:r>
      <w:proofErr w:type="spellEnd"/>
      <w:r w:rsidRPr="002B672B">
        <w:rPr>
          <w:rFonts w:asciiTheme="minorHAnsi" w:hAnsiTheme="minorHAnsi" w:cstheme="minorHAnsi"/>
          <w:sz w:val="22"/>
          <w:szCs w:val="22"/>
        </w:rPr>
        <w:t xml:space="preserve"> and other plasma cell </w:t>
      </w:r>
      <w:proofErr w:type="spellStart"/>
      <w:r w:rsidRPr="002B672B">
        <w:rPr>
          <w:rFonts w:asciiTheme="minorHAnsi" w:hAnsiTheme="minorHAnsi" w:cstheme="minorHAnsi"/>
          <w:sz w:val="22"/>
          <w:szCs w:val="22"/>
        </w:rPr>
        <w:t>dyscrasias</w:t>
      </w:r>
      <w:proofErr w:type="spellEnd"/>
      <w:r w:rsidRPr="002B672B">
        <w:rPr>
          <w:rFonts w:asciiTheme="minorHAnsi" w:hAnsiTheme="minorHAnsi" w:cstheme="minorHAnsi"/>
          <w:sz w:val="22"/>
          <w:szCs w:val="22"/>
        </w:rPr>
        <w:t xml:space="preserve"> (note: this list is not exhaustive)  </w:t>
      </w:r>
    </w:p>
    <w:p w14:paraId="7C51A2D4"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immunosuppression due to HIV/AIDS with a current CD4 count of &lt;200 cells/</w:t>
      </w:r>
      <w:proofErr w:type="spellStart"/>
      <w:r w:rsidRPr="002B672B">
        <w:rPr>
          <w:rFonts w:asciiTheme="minorHAnsi" w:hAnsiTheme="minorHAnsi" w:cstheme="minorHAnsi"/>
          <w:sz w:val="22"/>
          <w:szCs w:val="22"/>
        </w:rPr>
        <w:t>μl</w:t>
      </w:r>
      <w:proofErr w:type="spellEnd"/>
      <w:r w:rsidRPr="002B672B">
        <w:rPr>
          <w:rFonts w:asciiTheme="minorHAnsi" w:hAnsiTheme="minorHAnsi" w:cstheme="minorHAnsi"/>
          <w:sz w:val="22"/>
          <w:szCs w:val="22"/>
        </w:rPr>
        <w:t xml:space="preserve"> for adults or children </w:t>
      </w:r>
    </w:p>
    <w:p w14:paraId="573346FE" w14:textId="3F98515F"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primary or acquired cellular and combined immune deficiencies – those with </w:t>
      </w:r>
      <w:proofErr w:type="spellStart"/>
      <w:r w:rsidRPr="002B672B">
        <w:rPr>
          <w:rFonts w:asciiTheme="minorHAnsi" w:hAnsiTheme="minorHAnsi" w:cstheme="minorHAnsi"/>
          <w:sz w:val="22"/>
          <w:szCs w:val="22"/>
        </w:rPr>
        <w:t>lymphopaenia</w:t>
      </w:r>
      <w:proofErr w:type="spellEnd"/>
      <w:r w:rsidRPr="002B672B">
        <w:rPr>
          <w:rFonts w:asciiTheme="minorHAnsi" w:hAnsiTheme="minorHAnsi" w:cstheme="minorHAnsi"/>
          <w:sz w:val="22"/>
          <w:szCs w:val="22"/>
        </w:rPr>
        <w:t xml:space="preserve"> (&lt;1,000 lymphocytes/</w:t>
      </w:r>
      <w:proofErr w:type="spellStart"/>
      <w:r w:rsidR="003A5827" w:rsidRPr="002B672B">
        <w:rPr>
          <w:rFonts w:asciiTheme="minorHAnsi" w:hAnsiTheme="minorHAnsi" w:cstheme="minorHAnsi"/>
          <w:sz w:val="22"/>
          <w:szCs w:val="22"/>
        </w:rPr>
        <w:t>μ</w:t>
      </w:r>
      <w:r w:rsidRPr="002B672B">
        <w:rPr>
          <w:rFonts w:asciiTheme="minorHAnsi" w:hAnsiTheme="minorHAnsi" w:cstheme="minorHAnsi"/>
          <w:sz w:val="22"/>
          <w:szCs w:val="22"/>
        </w:rPr>
        <w:t>l</w:t>
      </w:r>
      <w:proofErr w:type="spellEnd"/>
      <w:r w:rsidRPr="002B672B">
        <w:rPr>
          <w:rFonts w:asciiTheme="minorHAnsi" w:hAnsiTheme="minorHAnsi" w:cstheme="minorHAnsi"/>
          <w:sz w:val="22"/>
          <w:szCs w:val="22"/>
        </w:rPr>
        <w:t xml:space="preserve">) or with a functional lymphocyte disorder </w:t>
      </w:r>
    </w:p>
    <w:p w14:paraId="41733A45"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lastRenderedPageBreak/>
        <w:t xml:space="preserve">those who had received an allogeneic (cells from a donor) or an autologous (using their own cells) stem cell transplant in the previous 24 months </w:t>
      </w:r>
    </w:p>
    <w:p w14:paraId="2557543B"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those who had received a stem cell transplant more than 24 months ago but had ongoing immunosuppression or graft versus host disease (GVHD) </w:t>
      </w:r>
    </w:p>
    <w:p w14:paraId="59F099F7" w14:textId="22472A7C"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persistent </w:t>
      </w:r>
      <w:proofErr w:type="spellStart"/>
      <w:r w:rsidRPr="002B672B">
        <w:rPr>
          <w:rFonts w:asciiTheme="minorHAnsi" w:hAnsiTheme="minorHAnsi" w:cstheme="minorHAnsi"/>
          <w:sz w:val="22"/>
          <w:szCs w:val="22"/>
        </w:rPr>
        <w:t>agammaglobulinaemia</w:t>
      </w:r>
      <w:proofErr w:type="spellEnd"/>
      <w:r w:rsidRPr="002B672B">
        <w:rPr>
          <w:rFonts w:asciiTheme="minorHAnsi" w:hAnsiTheme="minorHAnsi" w:cstheme="minorHAnsi"/>
          <w:sz w:val="22"/>
          <w:szCs w:val="22"/>
        </w:rPr>
        <w:t xml:space="preserve"> (IgG &lt; 3g/L) due to primary immunodeficiency (for example, common variable immunodeficiency) or secondary to disease/therapy </w:t>
      </w:r>
    </w:p>
    <w:p w14:paraId="7E4F81ED" w14:textId="77777777" w:rsidR="00F16CBB" w:rsidRPr="002B672B" w:rsidRDefault="00F16CBB" w:rsidP="00F16CBB">
      <w:pPr>
        <w:pStyle w:val="Default"/>
        <w:rPr>
          <w:rFonts w:asciiTheme="minorHAnsi" w:hAnsiTheme="minorHAnsi" w:cstheme="minorHAnsi"/>
          <w:sz w:val="22"/>
          <w:szCs w:val="22"/>
        </w:rPr>
      </w:pPr>
    </w:p>
    <w:p w14:paraId="6AB6034D" w14:textId="77777777" w:rsidR="00F16CBB" w:rsidRPr="002B672B" w:rsidRDefault="00F16CBB" w:rsidP="00F16CBB">
      <w:pPr>
        <w:pStyle w:val="Default"/>
        <w:numPr>
          <w:ilvl w:val="0"/>
          <w:numId w:val="17"/>
        </w:numPr>
        <w:rPr>
          <w:rFonts w:asciiTheme="minorHAnsi" w:hAnsiTheme="minorHAnsi" w:cstheme="minorHAnsi"/>
          <w:sz w:val="22"/>
          <w:szCs w:val="22"/>
        </w:rPr>
      </w:pPr>
      <w:r w:rsidRPr="002B672B">
        <w:rPr>
          <w:rFonts w:asciiTheme="minorHAnsi" w:hAnsiTheme="minorHAnsi" w:cstheme="minorHAnsi"/>
          <w:sz w:val="22"/>
          <w:szCs w:val="22"/>
        </w:rPr>
        <w:t xml:space="preserve">Individuals on immunosuppressive or </w:t>
      </w:r>
      <w:proofErr w:type="spellStart"/>
      <w:r w:rsidRPr="002B672B">
        <w:rPr>
          <w:rFonts w:asciiTheme="minorHAnsi" w:hAnsiTheme="minorHAnsi" w:cstheme="minorHAnsi"/>
          <w:sz w:val="22"/>
          <w:szCs w:val="22"/>
        </w:rPr>
        <w:t>immunomodulating</w:t>
      </w:r>
      <w:proofErr w:type="spellEnd"/>
      <w:r w:rsidRPr="002B672B">
        <w:rPr>
          <w:rFonts w:asciiTheme="minorHAnsi" w:hAnsiTheme="minorHAnsi" w:cstheme="minorHAnsi"/>
          <w:sz w:val="22"/>
          <w:szCs w:val="22"/>
        </w:rPr>
        <w:t xml:space="preserve"> therapy at the time of treatment including: </w:t>
      </w:r>
    </w:p>
    <w:p w14:paraId="2B8621AF"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those who were receiving or had received immunosuppressive therapy for a solid organ transplant in the previous 6 months </w:t>
      </w:r>
    </w:p>
    <w:p w14:paraId="550AE923"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those who were receiving or had received in the previous 3 months targeted therapy for autoimmune disease, such as JAK inhibitors or biologic immune modulators including B-cell targeted therapies (including rituximab but in this case the recipient would be considered immunosuppressed for a 6-month period), T-cell co-stimulation modulators, monoclonal tumour necrosis factor inhibitors (</w:t>
      </w:r>
      <w:proofErr w:type="spellStart"/>
      <w:r w:rsidRPr="002B672B">
        <w:rPr>
          <w:rFonts w:asciiTheme="minorHAnsi" w:hAnsiTheme="minorHAnsi" w:cstheme="minorHAnsi"/>
          <w:sz w:val="22"/>
          <w:szCs w:val="22"/>
        </w:rPr>
        <w:t>TNFi</w:t>
      </w:r>
      <w:proofErr w:type="spellEnd"/>
      <w:r w:rsidRPr="002B672B">
        <w:rPr>
          <w:rFonts w:asciiTheme="minorHAnsi" w:hAnsiTheme="minorHAnsi" w:cstheme="minorHAnsi"/>
          <w:sz w:val="22"/>
          <w:szCs w:val="22"/>
        </w:rPr>
        <w:t xml:space="preserve">), soluble TNF receptors, interleukin (IL)-6 receptor inhibitors, IL-17 inhibitors, IL 12/23 inhibitors, IL 23 inhibitors (note: this list is not exhaustive) </w:t>
      </w:r>
    </w:p>
    <w:p w14:paraId="3E9C766E" w14:textId="1E9EB889"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those who were receiving or had received in the previous 6 </w:t>
      </w:r>
      <w:proofErr w:type="gramStart"/>
      <w:r w:rsidRPr="002B672B">
        <w:rPr>
          <w:rFonts w:asciiTheme="minorHAnsi" w:hAnsiTheme="minorHAnsi" w:cstheme="minorHAnsi"/>
          <w:sz w:val="22"/>
          <w:szCs w:val="22"/>
        </w:rPr>
        <w:t>months</w:t>
      </w:r>
      <w:proofErr w:type="gramEnd"/>
      <w:r w:rsidRPr="002B672B">
        <w:rPr>
          <w:rFonts w:asciiTheme="minorHAnsi" w:hAnsiTheme="minorHAnsi" w:cstheme="minorHAnsi"/>
          <w:sz w:val="22"/>
          <w:szCs w:val="22"/>
        </w:rPr>
        <w:t xml:space="preserve"> immunosuppressive chemotherapy or radiotherapy for any indication </w:t>
      </w:r>
    </w:p>
    <w:p w14:paraId="13782232" w14:textId="77777777" w:rsidR="00F16CBB" w:rsidRPr="002B672B" w:rsidRDefault="00F16CBB" w:rsidP="00F16CBB">
      <w:pPr>
        <w:pStyle w:val="Default"/>
        <w:rPr>
          <w:rFonts w:asciiTheme="minorHAnsi" w:hAnsiTheme="minorHAnsi" w:cstheme="minorHAnsi"/>
          <w:sz w:val="22"/>
          <w:szCs w:val="22"/>
        </w:rPr>
      </w:pPr>
    </w:p>
    <w:p w14:paraId="6433438B" w14:textId="5BE1F712" w:rsidR="00F16CBB" w:rsidRPr="002B672B" w:rsidRDefault="00F16CBB" w:rsidP="00F16CBB">
      <w:pPr>
        <w:pStyle w:val="Default"/>
        <w:numPr>
          <w:ilvl w:val="0"/>
          <w:numId w:val="17"/>
        </w:numPr>
        <w:rPr>
          <w:rFonts w:asciiTheme="minorHAnsi" w:hAnsiTheme="minorHAnsi" w:cstheme="minorHAnsi"/>
          <w:sz w:val="22"/>
          <w:szCs w:val="22"/>
        </w:rPr>
      </w:pPr>
      <w:r w:rsidRPr="002B672B">
        <w:rPr>
          <w:rFonts w:asciiTheme="minorHAnsi" w:hAnsiTheme="minorHAnsi" w:cstheme="minorHAnsi"/>
          <w:sz w:val="22"/>
          <w:szCs w:val="22"/>
        </w:rPr>
        <w:t>Individuals with chronic immune-mediated inflammatory disease who were receiving or had received immunosuppressive therapy prior to treatment including: (excluding Dexamethasone for COVID-19)</w:t>
      </w:r>
    </w:p>
    <w:p w14:paraId="1A06AEEF"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high-dose corticosteroids (equivalent to ≥ 20mg prednisolone per day) for more than 10 days in the previous month </w:t>
      </w:r>
    </w:p>
    <w:p w14:paraId="77C2F363"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long-term moderate dose corticosteroids (equivalent to ≥10mg prednisolone per day for more than 4 weeks) in the previous 3 months </w:t>
      </w:r>
    </w:p>
    <w:p w14:paraId="6C505B7C" w14:textId="77777777"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non-biological oral immune modulating drugs, such as methotrexate &gt;20mg per week (oral and subcutaneous), azathioprine &gt;3.0mg/kg/day, 6-mercaptopurine &gt;1.5mg/kg/day, </w:t>
      </w:r>
      <w:proofErr w:type="spellStart"/>
      <w:r w:rsidRPr="002B672B">
        <w:rPr>
          <w:rFonts w:asciiTheme="minorHAnsi" w:hAnsiTheme="minorHAnsi" w:cstheme="minorHAnsi"/>
          <w:sz w:val="22"/>
          <w:szCs w:val="22"/>
        </w:rPr>
        <w:t>mycophenolate</w:t>
      </w:r>
      <w:proofErr w:type="spellEnd"/>
      <w:r w:rsidRPr="002B672B">
        <w:rPr>
          <w:rFonts w:asciiTheme="minorHAnsi" w:hAnsiTheme="minorHAnsi" w:cstheme="minorHAnsi"/>
          <w:sz w:val="22"/>
          <w:szCs w:val="22"/>
        </w:rPr>
        <w:t xml:space="preserve"> &gt;1g/day in the previous 3 months </w:t>
      </w:r>
    </w:p>
    <w:p w14:paraId="5FE02C19" w14:textId="61D29C9B" w:rsidR="00F16CBB" w:rsidRPr="002B672B" w:rsidRDefault="00F16CBB" w:rsidP="00F16CBB">
      <w:pPr>
        <w:pStyle w:val="Default"/>
        <w:numPr>
          <w:ilvl w:val="1"/>
          <w:numId w:val="17"/>
        </w:numPr>
        <w:rPr>
          <w:rFonts w:asciiTheme="minorHAnsi" w:hAnsiTheme="minorHAnsi" w:cstheme="minorHAnsi"/>
          <w:sz w:val="22"/>
          <w:szCs w:val="22"/>
        </w:rPr>
      </w:pPr>
      <w:r w:rsidRPr="002B672B">
        <w:rPr>
          <w:rFonts w:asciiTheme="minorHAnsi" w:hAnsiTheme="minorHAnsi" w:cstheme="minorHAnsi"/>
          <w:sz w:val="22"/>
          <w:szCs w:val="22"/>
        </w:rPr>
        <w:t xml:space="preserve">certain combination therapies at individual doses lower than above, including those on ≥7.5mg prednisolone per day in combination with other </w:t>
      </w:r>
      <w:proofErr w:type="spellStart"/>
      <w:r w:rsidRPr="002B672B">
        <w:rPr>
          <w:rFonts w:asciiTheme="minorHAnsi" w:hAnsiTheme="minorHAnsi" w:cstheme="minorHAnsi"/>
          <w:sz w:val="22"/>
          <w:szCs w:val="22"/>
        </w:rPr>
        <w:t>immunosuppressants</w:t>
      </w:r>
      <w:proofErr w:type="spellEnd"/>
      <w:r w:rsidRPr="002B672B">
        <w:rPr>
          <w:rFonts w:asciiTheme="minorHAnsi" w:hAnsiTheme="minorHAnsi" w:cstheme="minorHAnsi"/>
          <w:sz w:val="22"/>
          <w:szCs w:val="22"/>
        </w:rPr>
        <w:t xml:space="preserve"> (other than </w:t>
      </w:r>
      <w:proofErr w:type="spellStart"/>
      <w:r w:rsidRPr="002B672B">
        <w:rPr>
          <w:rFonts w:asciiTheme="minorHAnsi" w:hAnsiTheme="minorHAnsi" w:cstheme="minorHAnsi"/>
          <w:sz w:val="22"/>
          <w:szCs w:val="22"/>
        </w:rPr>
        <w:t>hydroxychloroquine</w:t>
      </w:r>
      <w:proofErr w:type="spellEnd"/>
      <w:r w:rsidRPr="002B672B">
        <w:rPr>
          <w:rFonts w:asciiTheme="minorHAnsi" w:hAnsiTheme="minorHAnsi" w:cstheme="minorHAnsi"/>
          <w:sz w:val="22"/>
          <w:szCs w:val="22"/>
        </w:rPr>
        <w:t xml:space="preserve"> or sulfasalazine) and those receiving methotrexate (any dose) with </w:t>
      </w:r>
      <w:proofErr w:type="spellStart"/>
      <w:r w:rsidRPr="002B672B">
        <w:rPr>
          <w:rFonts w:asciiTheme="minorHAnsi" w:hAnsiTheme="minorHAnsi" w:cstheme="minorHAnsi"/>
          <w:sz w:val="22"/>
          <w:szCs w:val="22"/>
        </w:rPr>
        <w:t>leflunomide</w:t>
      </w:r>
      <w:proofErr w:type="spellEnd"/>
      <w:r w:rsidRPr="002B672B">
        <w:rPr>
          <w:rFonts w:asciiTheme="minorHAnsi" w:hAnsiTheme="minorHAnsi" w:cstheme="minorHAnsi"/>
          <w:sz w:val="22"/>
          <w:szCs w:val="22"/>
        </w:rPr>
        <w:t xml:space="preserve"> in the previous 3 months </w:t>
      </w:r>
    </w:p>
    <w:p w14:paraId="67CECA30" w14:textId="77777777" w:rsidR="00F16CBB" w:rsidRPr="002B672B" w:rsidRDefault="00F16CBB" w:rsidP="00F16CBB">
      <w:pPr>
        <w:pStyle w:val="Default"/>
        <w:ind w:left="1080"/>
        <w:rPr>
          <w:rFonts w:asciiTheme="minorHAnsi" w:hAnsiTheme="minorHAnsi" w:cstheme="minorHAnsi"/>
          <w:sz w:val="22"/>
          <w:szCs w:val="22"/>
        </w:rPr>
      </w:pPr>
    </w:p>
    <w:p w14:paraId="78B9BD95" w14:textId="03401885" w:rsidR="00F16CBB" w:rsidRPr="002B672B" w:rsidRDefault="00F16CBB" w:rsidP="00F16CBB">
      <w:pPr>
        <w:pStyle w:val="ListParagraph"/>
        <w:numPr>
          <w:ilvl w:val="0"/>
          <w:numId w:val="17"/>
        </w:numPr>
        <w:autoSpaceDE w:val="0"/>
        <w:autoSpaceDN w:val="0"/>
        <w:adjustRightInd w:val="0"/>
        <w:spacing w:after="0" w:line="240" w:lineRule="auto"/>
        <w:rPr>
          <w:rFonts w:cstheme="minorHAnsi"/>
          <w:color w:val="000000"/>
        </w:rPr>
      </w:pPr>
      <w:r w:rsidRPr="002B672B">
        <w:rPr>
          <w:rFonts w:cstheme="minorHAnsi"/>
          <w:color w:val="000000"/>
        </w:rPr>
        <w:t xml:space="preserve">Individuals who had received high-dose steroids (equivalent to &gt;40mg prednisolone per day for more than a week) for any reason in the month before treatment. </w:t>
      </w:r>
      <w:r w:rsidRPr="002B672B">
        <w:rPr>
          <w:rFonts w:cstheme="minorHAnsi"/>
        </w:rPr>
        <w:t>(excluding Dexamethasone for COVID-19)</w:t>
      </w:r>
    </w:p>
    <w:p w14:paraId="223F108C" w14:textId="580D2D9E" w:rsidR="002146A9" w:rsidRPr="002B672B" w:rsidRDefault="00F16CBB" w:rsidP="002146A9">
      <w:pPr>
        <w:pStyle w:val="ListParagraph"/>
        <w:numPr>
          <w:ilvl w:val="1"/>
          <w:numId w:val="17"/>
        </w:numPr>
        <w:autoSpaceDE w:val="0"/>
        <w:autoSpaceDN w:val="0"/>
        <w:adjustRightInd w:val="0"/>
        <w:spacing w:after="0" w:line="240" w:lineRule="auto"/>
        <w:rPr>
          <w:rFonts w:cstheme="minorHAnsi"/>
          <w:color w:val="000000"/>
        </w:rPr>
      </w:pPr>
      <w:r w:rsidRPr="002B672B">
        <w:rPr>
          <w:rFonts w:cstheme="minorHAnsi"/>
          <w:color w:val="000000"/>
        </w:rPr>
        <w:t>Individuals who had received brief immunosuppression (≤40mg prednisolone per day) for an acute episode (for example, asthma / COPD / COVID-19) and individuals on replacement corticosteroids for adrenal insufficiency are not considered severely immunosuppressed sufficient to prevent treatment with an IL-6 Inhibitor.</w:t>
      </w:r>
    </w:p>
    <w:p w14:paraId="7A7FB49A" w14:textId="77777777" w:rsidR="002146A9" w:rsidRPr="002B672B" w:rsidRDefault="002146A9" w:rsidP="002146A9">
      <w:pPr>
        <w:autoSpaceDE w:val="0"/>
        <w:autoSpaceDN w:val="0"/>
        <w:adjustRightInd w:val="0"/>
        <w:spacing w:after="0" w:line="240" w:lineRule="auto"/>
        <w:rPr>
          <w:rFonts w:cstheme="minorHAnsi"/>
          <w:b/>
          <w:u w:val="single"/>
        </w:rPr>
      </w:pPr>
    </w:p>
    <w:p w14:paraId="120975AE" w14:textId="7C91D10A" w:rsidR="002146A9" w:rsidRPr="002B672B" w:rsidRDefault="002146A9" w:rsidP="002146A9">
      <w:pPr>
        <w:autoSpaceDE w:val="0"/>
        <w:autoSpaceDN w:val="0"/>
        <w:adjustRightInd w:val="0"/>
        <w:spacing w:after="0" w:line="240" w:lineRule="auto"/>
        <w:rPr>
          <w:rFonts w:cstheme="minorHAnsi"/>
          <w:b/>
          <w:u w:val="single"/>
        </w:rPr>
      </w:pPr>
    </w:p>
    <w:p w14:paraId="010D73E2" w14:textId="7C235354" w:rsidR="002146A9" w:rsidRPr="002B672B" w:rsidRDefault="002146A9" w:rsidP="002146A9">
      <w:pPr>
        <w:autoSpaceDE w:val="0"/>
        <w:autoSpaceDN w:val="0"/>
        <w:adjustRightInd w:val="0"/>
        <w:spacing w:after="0" w:line="240" w:lineRule="auto"/>
        <w:rPr>
          <w:rFonts w:cstheme="minorHAnsi"/>
          <w:b/>
          <w:u w:val="single"/>
        </w:rPr>
      </w:pPr>
    </w:p>
    <w:p w14:paraId="7240C07D" w14:textId="77777777" w:rsidR="002146A9" w:rsidRPr="002B672B" w:rsidRDefault="002146A9" w:rsidP="002146A9">
      <w:pPr>
        <w:autoSpaceDE w:val="0"/>
        <w:autoSpaceDN w:val="0"/>
        <w:adjustRightInd w:val="0"/>
        <w:spacing w:after="0" w:line="240" w:lineRule="auto"/>
        <w:rPr>
          <w:rFonts w:cstheme="minorHAnsi"/>
          <w:b/>
          <w:u w:val="single"/>
        </w:rPr>
      </w:pPr>
    </w:p>
    <w:p w14:paraId="28AE6547" w14:textId="77777777" w:rsidR="002146A9" w:rsidRPr="002B672B" w:rsidRDefault="002146A9" w:rsidP="002146A9">
      <w:pPr>
        <w:autoSpaceDE w:val="0"/>
        <w:autoSpaceDN w:val="0"/>
        <w:adjustRightInd w:val="0"/>
        <w:spacing w:after="0" w:line="240" w:lineRule="auto"/>
        <w:rPr>
          <w:rFonts w:cstheme="minorHAnsi"/>
          <w:b/>
          <w:u w:val="single"/>
        </w:rPr>
      </w:pPr>
    </w:p>
    <w:p w14:paraId="59EDCA07" w14:textId="77777777" w:rsidR="002146A9" w:rsidRPr="002B672B" w:rsidRDefault="002146A9" w:rsidP="002146A9">
      <w:pPr>
        <w:autoSpaceDE w:val="0"/>
        <w:autoSpaceDN w:val="0"/>
        <w:adjustRightInd w:val="0"/>
        <w:spacing w:after="0" w:line="240" w:lineRule="auto"/>
        <w:rPr>
          <w:rFonts w:cstheme="minorHAnsi"/>
          <w:b/>
          <w:u w:val="single"/>
        </w:rPr>
      </w:pPr>
    </w:p>
    <w:p w14:paraId="5F1349EB" w14:textId="77777777" w:rsidR="002146A9" w:rsidRPr="002B672B" w:rsidRDefault="002146A9" w:rsidP="002146A9">
      <w:pPr>
        <w:autoSpaceDE w:val="0"/>
        <w:autoSpaceDN w:val="0"/>
        <w:adjustRightInd w:val="0"/>
        <w:spacing w:after="0" w:line="240" w:lineRule="auto"/>
        <w:rPr>
          <w:rFonts w:cstheme="minorHAnsi"/>
          <w:b/>
          <w:u w:val="single"/>
        </w:rPr>
      </w:pPr>
    </w:p>
    <w:p w14:paraId="7B1FA47F" w14:textId="77777777" w:rsidR="002146A9" w:rsidRPr="002B672B" w:rsidRDefault="002146A9" w:rsidP="002146A9">
      <w:pPr>
        <w:autoSpaceDE w:val="0"/>
        <w:autoSpaceDN w:val="0"/>
        <w:adjustRightInd w:val="0"/>
        <w:spacing w:after="0" w:line="240" w:lineRule="auto"/>
        <w:rPr>
          <w:rFonts w:cstheme="minorHAnsi"/>
          <w:b/>
          <w:u w:val="single"/>
        </w:rPr>
      </w:pPr>
    </w:p>
    <w:p w14:paraId="1B5FB848" w14:textId="77777777" w:rsidR="002146A9" w:rsidRPr="002B672B" w:rsidRDefault="002146A9" w:rsidP="002146A9">
      <w:pPr>
        <w:autoSpaceDE w:val="0"/>
        <w:autoSpaceDN w:val="0"/>
        <w:adjustRightInd w:val="0"/>
        <w:spacing w:after="0" w:line="240" w:lineRule="auto"/>
        <w:rPr>
          <w:rFonts w:cstheme="minorHAnsi"/>
          <w:b/>
          <w:u w:val="single"/>
        </w:rPr>
      </w:pPr>
    </w:p>
    <w:p w14:paraId="5F916127" w14:textId="77777777" w:rsidR="002146A9" w:rsidRPr="002B672B" w:rsidRDefault="002146A9" w:rsidP="002146A9">
      <w:pPr>
        <w:autoSpaceDE w:val="0"/>
        <w:autoSpaceDN w:val="0"/>
        <w:adjustRightInd w:val="0"/>
        <w:spacing w:after="0" w:line="240" w:lineRule="auto"/>
        <w:rPr>
          <w:rFonts w:cstheme="minorHAnsi"/>
          <w:b/>
          <w:u w:val="single"/>
        </w:rPr>
      </w:pPr>
    </w:p>
    <w:p w14:paraId="75E5FBCC" w14:textId="77777777" w:rsidR="002146A9" w:rsidRPr="002B672B" w:rsidRDefault="002146A9" w:rsidP="002146A9">
      <w:pPr>
        <w:autoSpaceDE w:val="0"/>
        <w:autoSpaceDN w:val="0"/>
        <w:adjustRightInd w:val="0"/>
        <w:spacing w:after="0" w:line="240" w:lineRule="auto"/>
        <w:rPr>
          <w:rFonts w:cstheme="minorHAnsi"/>
          <w:b/>
          <w:u w:val="single"/>
        </w:rPr>
      </w:pPr>
    </w:p>
    <w:p w14:paraId="12C1C881" w14:textId="77777777" w:rsidR="002146A9" w:rsidRPr="002B672B" w:rsidRDefault="002146A9" w:rsidP="002146A9">
      <w:pPr>
        <w:autoSpaceDE w:val="0"/>
        <w:autoSpaceDN w:val="0"/>
        <w:adjustRightInd w:val="0"/>
        <w:spacing w:after="0" w:line="240" w:lineRule="auto"/>
        <w:rPr>
          <w:rFonts w:cstheme="minorHAnsi"/>
          <w:b/>
          <w:u w:val="single"/>
        </w:rPr>
      </w:pPr>
    </w:p>
    <w:p w14:paraId="3B78573B" w14:textId="77777777" w:rsidR="002146A9" w:rsidRPr="002B672B" w:rsidRDefault="002146A9" w:rsidP="002146A9">
      <w:pPr>
        <w:autoSpaceDE w:val="0"/>
        <w:autoSpaceDN w:val="0"/>
        <w:adjustRightInd w:val="0"/>
        <w:spacing w:after="0" w:line="240" w:lineRule="auto"/>
        <w:rPr>
          <w:rFonts w:cstheme="minorHAnsi"/>
          <w:b/>
          <w:u w:val="single"/>
        </w:rPr>
      </w:pPr>
    </w:p>
    <w:p w14:paraId="1EE734BB" w14:textId="77777777" w:rsidR="002146A9" w:rsidRPr="002B672B" w:rsidRDefault="002146A9" w:rsidP="002146A9">
      <w:pPr>
        <w:autoSpaceDE w:val="0"/>
        <w:autoSpaceDN w:val="0"/>
        <w:adjustRightInd w:val="0"/>
        <w:spacing w:after="0" w:line="240" w:lineRule="auto"/>
        <w:rPr>
          <w:rFonts w:cstheme="minorHAnsi"/>
          <w:b/>
          <w:u w:val="single"/>
        </w:rPr>
      </w:pPr>
    </w:p>
    <w:p w14:paraId="479C9C0C" w14:textId="77777777" w:rsidR="002146A9" w:rsidRPr="002B672B" w:rsidRDefault="002146A9" w:rsidP="002146A9">
      <w:pPr>
        <w:autoSpaceDE w:val="0"/>
        <w:autoSpaceDN w:val="0"/>
        <w:adjustRightInd w:val="0"/>
        <w:spacing w:after="0" w:line="240" w:lineRule="auto"/>
        <w:rPr>
          <w:rFonts w:cstheme="minorHAnsi"/>
          <w:b/>
          <w:u w:val="single"/>
        </w:rPr>
      </w:pPr>
    </w:p>
    <w:p w14:paraId="57C0309F" w14:textId="77777777" w:rsidR="002146A9" w:rsidRPr="002B672B" w:rsidRDefault="002146A9" w:rsidP="002146A9">
      <w:pPr>
        <w:autoSpaceDE w:val="0"/>
        <w:autoSpaceDN w:val="0"/>
        <w:adjustRightInd w:val="0"/>
        <w:spacing w:after="0" w:line="240" w:lineRule="auto"/>
        <w:rPr>
          <w:rFonts w:cstheme="minorHAnsi"/>
          <w:b/>
          <w:u w:val="single"/>
        </w:rPr>
      </w:pPr>
    </w:p>
    <w:p w14:paraId="061AE4D9" w14:textId="77777777" w:rsidR="002146A9" w:rsidRPr="002B672B" w:rsidRDefault="002146A9" w:rsidP="002146A9">
      <w:pPr>
        <w:autoSpaceDE w:val="0"/>
        <w:autoSpaceDN w:val="0"/>
        <w:adjustRightInd w:val="0"/>
        <w:spacing w:after="0" w:line="240" w:lineRule="auto"/>
        <w:rPr>
          <w:rFonts w:cstheme="minorHAnsi"/>
          <w:b/>
          <w:u w:val="single"/>
        </w:rPr>
      </w:pPr>
    </w:p>
    <w:p w14:paraId="73F36818" w14:textId="77777777" w:rsidR="002146A9" w:rsidRPr="002B672B" w:rsidRDefault="002146A9" w:rsidP="002146A9">
      <w:pPr>
        <w:autoSpaceDE w:val="0"/>
        <w:autoSpaceDN w:val="0"/>
        <w:adjustRightInd w:val="0"/>
        <w:spacing w:after="0" w:line="240" w:lineRule="auto"/>
        <w:rPr>
          <w:rFonts w:cstheme="minorHAnsi"/>
          <w:b/>
          <w:u w:val="single"/>
        </w:rPr>
      </w:pPr>
    </w:p>
    <w:p w14:paraId="38EBFAAD" w14:textId="77777777" w:rsidR="002146A9" w:rsidRPr="002B672B" w:rsidRDefault="002146A9" w:rsidP="002146A9">
      <w:pPr>
        <w:autoSpaceDE w:val="0"/>
        <w:autoSpaceDN w:val="0"/>
        <w:adjustRightInd w:val="0"/>
        <w:spacing w:after="0" w:line="240" w:lineRule="auto"/>
        <w:rPr>
          <w:rFonts w:cstheme="minorHAnsi"/>
          <w:b/>
          <w:u w:val="single"/>
        </w:rPr>
      </w:pPr>
    </w:p>
    <w:p w14:paraId="28C24661" w14:textId="77777777" w:rsidR="002146A9" w:rsidRPr="002B672B" w:rsidRDefault="002146A9" w:rsidP="002146A9">
      <w:pPr>
        <w:autoSpaceDE w:val="0"/>
        <w:autoSpaceDN w:val="0"/>
        <w:adjustRightInd w:val="0"/>
        <w:spacing w:after="0" w:line="240" w:lineRule="auto"/>
        <w:rPr>
          <w:rFonts w:cstheme="minorHAnsi"/>
          <w:b/>
          <w:u w:val="single"/>
        </w:rPr>
      </w:pPr>
    </w:p>
    <w:p w14:paraId="28E98C1C" w14:textId="77777777" w:rsidR="002146A9" w:rsidRPr="002B672B" w:rsidRDefault="002146A9" w:rsidP="002146A9">
      <w:pPr>
        <w:autoSpaceDE w:val="0"/>
        <w:autoSpaceDN w:val="0"/>
        <w:adjustRightInd w:val="0"/>
        <w:spacing w:after="0" w:line="240" w:lineRule="auto"/>
        <w:rPr>
          <w:rFonts w:cstheme="minorHAnsi"/>
          <w:b/>
          <w:u w:val="single"/>
        </w:rPr>
      </w:pPr>
    </w:p>
    <w:p w14:paraId="73F3189A" w14:textId="77777777" w:rsidR="002146A9" w:rsidRPr="002B672B" w:rsidRDefault="002146A9" w:rsidP="002146A9">
      <w:pPr>
        <w:autoSpaceDE w:val="0"/>
        <w:autoSpaceDN w:val="0"/>
        <w:adjustRightInd w:val="0"/>
        <w:spacing w:after="0" w:line="240" w:lineRule="auto"/>
        <w:rPr>
          <w:rFonts w:cstheme="minorHAnsi"/>
          <w:b/>
          <w:u w:val="single"/>
        </w:rPr>
      </w:pPr>
    </w:p>
    <w:p w14:paraId="394EE712" w14:textId="77777777" w:rsidR="002146A9" w:rsidRPr="002B672B" w:rsidRDefault="002146A9" w:rsidP="002146A9">
      <w:pPr>
        <w:autoSpaceDE w:val="0"/>
        <w:autoSpaceDN w:val="0"/>
        <w:adjustRightInd w:val="0"/>
        <w:spacing w:after="0" w:line="240" w:lineRule="auto"/>
        <w:rPr>
          <w:rFonts w:cstheme="minorHAnsi"/>
          <w:b/>
          <w:u w:val="single"/>
        </w:rPr>
      </w:pPr>
    </w:p>
    <w:p w14:paraId="57B12E47" w14:textId="77777777" w:rsidR="002146A9" w:rsidRPr="002B672B" w:rsidRDefault="002146A9" w:rsidP="002146A9">
      <w:pPr>
        <w:autoSpaceDE w:val="0"/>
        <w:autoSpaceDN w:val="0"/>
        <w:adjustRightInd w:val="0"/>
        <w:spacing w:after="0" w:line="240" w:lineRule="auto"/>
        <w:rPr>
          <w:rFonts w:cstheme="minorHAnsi"/>
          <w:b/>
          <w:u w:val="single"/>
        </w:rPr>
      </w:pPr>
    </w:p>
    <w:p w14:paraId="6E0BD475" w14:textId="77777777" w:rsidR="002146A9" w:rsidRPr="002B672B" w:rsidRDefault="002146A9" w:rsidP="002146A9">
      <w:pPr>
        <w:autoSpaceDE w:val="0"/>
        <w:autoSpaceDN w:val="0"/>
        <w:adjustRightInd w:val="0"/>
        <w:spacing w:after="0" w:line="240" w:lineRule="auto"/>
        <w:rPr>
          <w:rFonts w:cstheme="minorHAnsi"/>
          <w:b/>
          <w:u w:val="single"/>
        </w:rPr>
      </w:pPr>
    </w:p>
    <w:p w14:paraId="47BC216F" w14:textId="77777777" w:rsidR="002146A9" w:rsidRPr="002B672B" w:rsidRDefault="002146A9" w:rsidP="002146A9">
      <w:pPr>
        <w:autoSpaceDE w:val="0"/>
        <w:autoSpaceDN w:val="0"/>
        <w:adjustRightInd w:val="0"/>
        <w:spacing w:after="0" w:line="240" w:lineRule="auto"/>
        <w:rPr>
          <w:rFonts w:cstheme="minorHAnsi"/>
          <w:b/>
          <w:u w:val="single"/>
        </w:rPr>
      </w:pPr>
    </w:p>
    <w:p w14:paraId="2DB9959C" w14:textId="77777777" w:rsidR="002146A9" w:rsidRPr="002B672B" w:rsidRDefault="002146A9" w:rsidP="002146A9">
      <w:pPr>
        <w:autoSpaceDE w:val="0"/>
        <w:autoSpaceDN w:val="0"/>
        <w:adjustRightInd w:val="0"/>
        <w:spacing w:after="0" w:line="240" w:lineRule="auto"/>
        <w:rPr>
          <w:rFonts w:cstheme="minorHAnsi"/>
          <w:b/>
          <w:u w:val="single"/>
        </w:rPr>
      </w:pPr>
    </w:p>
    <w:p w14:paraId="698605D3" w14:textId="77777777" w:rsidR="002146A9" w:rsidRPr="002B672B" w:rsidRDefault="002146A9" w:rsidP="002146A9">
      <w:pPr>
        <w:autoSpaceDE w:val="0"/>
        <w:autoSpaceDN w:val="0"/>
        <w:adjustRightInd w:val="0"/>
        <w:spacing w:after="0" w:line="240" w:lineRule="auto"/>
        <w:rPr>
          <w:rFonts w:cstheme="minorHAnsi"/>
          <w:b/>
          <w:u w:val="single"/>
        </w:rPr>
      </w:pPr>
    </w:p>
    <w:p w14:paraId="1E0D3566" w14:textId="77777777" w:rsidR="002146A9" w:rsidRPr="002B672B" w:rsidRDefault="002146A9" w:rsidP="002146A9">
      <w:pPr>
        <w:autoSpaceDE w:val="0"/>
        <w:autoSpaceDN w:val="0"/>
        <w:adjustRightInd w:val="0"/>
        <w:spacing w:after="0" w:line="240" w:lineRule="auto"/>
        <w:rPr>
          <w:rFonts w:cstheme="minorHAnsi"/>
          <w:b/>
          <w:u w:val="single"/>
        </w:rPr>
      </w:pPr>
    </w:p>
    <w:p w14:paraId="043E0204" w14:textId="77777777" w:rsidR="002146A9" w:rsidRPr="002B672B" w:rsidRDefault="002146A9" w:rsidP="002146A9">
      <w:pPr>
        <w:autoSpaceDE w:val="0"/>
        <w:autoSpaceDN w:val="0"/>
        <w:adjustRightInd w:val="0"/>
        <w:spacing w:after="0" w:line="240" w:lineRule="auto"/>
        <w:rPr>
          <w:rFonts w:cstheme="minorHAnsi"/>
          <w:b/>
          <w:u w:val="single"/>
        </w:rPr>
      </w:pPr>
    </w:p>
    <w:p w14:paraId="01123A2C" w14:textId="77777777" w:rsidR="002146A9" w:rsidRPr="002B672B" w:rsidRDefault="002146A9" w:rsidP="002146A9">
      <w:pPr>
        <w:autoSpaceDE w:val="0"/>
        <w:autoSpaceDN w:val="0"/>
        <w:adjustRightInd w:val="0"/>
        <w:spacing w:after="0" w:line="240" w:lineRule="auto"/>
        <w:rPr>
          <w:rFonts w:cstheme="minorHAnsi"/>
          <w:b/>
          <w:u w:val="single"/>
        </w:rPr>
      </w:pPr>
    </w:p>
    <w:p w14:paraId="622A751B" w14:textId="77777777" w:rsidR="002146A9" w:rsidRPr="002B672B" w:rsidRDefault="002146A9" w:rsidP="002146A9">
      <w:pPr>
        <w:autoSpaceDE w:val="0"/>
        <w:autoSpaceDN w:val="0"/>
        <w:adjustRightInd w:val="0"/>
        <w:spacing w:after="0" w:line="240" w:lineRule="auto"/>
        <w:rPr>
          <w:rFonts w:cstheme="minorHAnsi"/>
          <w:b/>
          <w:u w:val="single"/>
        </w:rPr>
      </w:pPr>
    </w:p>
    <w:p w14:paraId="2ACDFB21" w14:textId="77777777" w:rsidR="002146A9" w:rsidRPr="002B672B" w:rsidRDefault="002146A9" w:rsidP="002146A9">
      <w:pPr>
        <w:autoSpaceDE w:val="0"/>
        <w:autoSpaceDN w:val="0"/>
        <w:adjustRightInd w:val="0"/>
        <w:spacing w:after="0" w:line="240" w:lineRule="auto"/>
        <w:rPr>
          <w:rFonts w:cstheme="minorHAnsi"/>
          <w:b/>
          <w:u w:val="single"/>
        </w:rPr>
      </w:pPr>
    </w:p>
    <w:p w14:paraId="0641BA8A" w14:textId="77777777" w:rsidR="002146A9" w:rsidRPr="002B672B" w:rsidRDefault="002146A9" w:rsidP="002146A9">
      <w:pPr>
        <w:autoSpaceDE w:val="0"/>
        <w:autoSpaceDN w:val="0"/>
        <w:adjustRightInd w:val="0"/>
        <w:spacing w:after="0" w:line="240" w:lineRule="auto"/>
        <w:rPr>
          <w:rFonts w:cstheme="minorHAnsi"/>
          <w:b/>
          <w:u w:val="single"/>
        </w:rPr>
      </w:pPr>
    </w:p>
    <w:p w14:paraId="1F8385C3" w14:textId="77777777" w:rsidR="002146A9" w:rsidRPr="002B672B" w:rsidRDefault="002146A9" w:rsidP="002146A9">
      <w:pPr>
        <w:autoSpaceDE w:val="0"/>
        <w:autoSpaceDN w:val="0"/>
        <w:adjustRightInd w:val="0"/>
        <w:spacing w:after="0" w:line="240" w:lineRule="auto"/>
        <w:rPr>
          <w:rFonts w:cstheme="minorHAnsi"/>
          <w:b/>
          <w:u w:val="single"/>
        </w:rPr>
      </w:pPr>
    </w:p>
    <w:p w14:paraId="468ACA2E" w14:textId="77777777" w:rsidR="002146A9" w:rsidRPr="002B672B" w:rsidRDefault="002146A9" w:rsidP="002146A9">
      <w:pPr>
        <w:autoSpaceDE w:val="0"/>
        <w:autoSpaceDN w:val="0"/>
        <w:adjustRightInd w:val="0"/>
        <w:spacing w:after="0" w:line="240" w:lineRule="auto"/>
        <w:rPr>
          <w:rFonts w:cstheme="minorHAnsi"/>
          <w:b/>
          <w:u w:val="single"/>
        </w:rPr>
      </w:pPr>
    </w:p>
    <w:p w14:paraId="722BF568" w14:textId="77777777" w:rsidR="002146A9" w:rsidRPr="002B672B" w:rsidRDefault="002146A9" w:rsidP="002146A9">
      <w:pPr>
        <w:autoSpaceDE w:val="0"/>
        <w:autoSpaceDN w:val="0"/>
        <w:adjustRightInd w:val="0"/>
        <w:spacing w:after="0" w:line="240" w:lineRule="auto"/>
        <w:rPr>
          <w:rFonts w:cstheme="minorHAnsi"/>
          <w:b/>
          <w:u w:val="single"/>
        </w:rPr>
      </w:pPr>
    </w:p>
    <w:p w14:paraId="133174AA" w14:textId="77777777" w:rsidR="002146A9" w:rsidRPr="002B672B" w:rsidRDefault="002146A9" w:rsidP="002146A9">
      <w:pPr>
        <w:autoSpaceDE w:val="0"/>
        <w:autoSpaceDN w:val="0"/>
        <w:adjustRightInd w:val="0"/>
        <w:spacing w:after="0" w:line="240" w:lineRule="auto"/>
        <w:rPr>
          <w:rFonts w:cstheme="minorHAnsi"/>
          <w:b/>
          <w:u w:val="single"/>
        </w:rPr>
      </w:pPr>
    </w:p>
    <w:p w14:paraId="4270A419" w14:textId="77777777" w:rsidR="002146A9" w:rsidRPr="002B672B" w:rsidRDefault="002146A9" w:rsidP="002146A9">
      <w:pPr>
        <w:autoSpaceDE w:val="0"/>
        <w:autoSpaceDN w:val="0"/>
        <w:adjustRightInd w:val="0"/>
        <w:spacing w:after="0" w:line="240" w:lineRule="auto"/>
        <w:rPr>
          <w:rFonts w:cstheme="minorHAnsi"/>
          <w:b/>
          <w:u w:val="single"/>
        </w:rPr>
      </w:pPr>
    </w:p>
    <w:p w14:paraId="182F15AF" w14:textId="77777777" w:rsidR="002146A9" w:rsidRPr="002B672B" w:rsidRDefault="002146A9" w:rsidP="002146A9">
      <w:pPr>
        <w:autoSpaceDE w:val="0"/>
        <w:autoSpaceDN w:val="0"/>
        <w:adjustRightInd w:val="0"/>
        <w:spacing w:after="0" w:line="240" w:lineRule="auto"/>
        <w:rPr>
          <w:rFonts w:cstheme="minorHAnsi"/>
          <w:b/>
          <w:u w:val="single"/>
        </w:rPr>
      </w:pPr>
    </w:p>
    <w:p w14:paraId="2988DE04" w14:textId="77777777" w:rsidR="002146A9" w:rsidRPr="002B672B" w:rsidRDefault="002146A9" w:rsidP="002146A9">
      <w:pPr>
        <w:autoSpaceDE w:val="0"/>
        <w:autoSpaceDN w:val="0"/>
        <w:adjustRightInd w:val="0"/>
        <w:spacing w:after="0" w:line="240" w:lineRule="auto"/>
        <w:rPr>
          <w:rFonts w:cstheme="minorHAnsi"/>
          <w:b/>
          <w:u w:val="single"/>
        </w:rPr>
      </w:pPr>
    </w:p>
    <w:p w14:paraId="3863642D" w14:textId="77777777" w:rsidR="002146A9" w:rsidRPr="002B672B" w:rsidRDefault="002146A9" w:rsidP="002146A9">
      <w:pPr>
        <w:autoSpaceDE w:val="0"/>
        <w:autoSpaceDN w:val="0"/>
        <w:adjustRightInd w:val="0"/>
        <w:spacing w:after="0" w:line="240" w:lineRule="auto"/>
        <w:rPr>
          <w:rFonts w:cstheme="minorHAnsi"/>
          <w:b/>
          <w:u w:val="single"/>
        </w:rPr>
      </w:pPr>
    </w:p>
    <w:p w14:paraId="1DCAC8AA" w14:textId="77777777" w:rsidR="002146A9" w:rsidRPr="002B672B" w:rsidRDefault="002146A9" w:rsidP="002146A9">
      <w:pPr>
        <w:autoSpaceDE w:val="0"/>
        <w:autoSpaceDN w:val="0"/>
        <w:adjustRightInd w:val="0"/>
        <w:spacing w:after="0" w:line="240" w:lineRule="auto"/>
        <w:rPr>
          <w:rFonts w:cstheme="minorHAnsi"/>
          <w:b/>
          <w:u w:val="single"/>
        </w:rPr>
      </w:pPr>
    </w:p>
    <w:p w14:paraId="77D6EA0E" w14:textId="77777777" w:rsidR="002146A9" w:rsidRPr="002B672B" w:rsidRDefault="002146A9" w:rsidP="002146A9">
      <w:pPr>
        <w:autoSpaceDE w:val="0"/>
        <w:autoSpaceDN w:val="0"/>
        <w:adjustRightInd w:val="0"/>
        <w:spacing w:after="0" w:line="240" w:lineRule="auto"/>
        <w:rPr>
          <w:rFonts w:cstheme="minorHAnsi"/>
          <w:b/>
          <w:u w:val="single"/>
        </w:rPr>
      </w:pPr>
    </w:p>
    <w:p w14:paraId="06455226" w14:textId="77777777" w:rsidR="002146A9" w:rsidRPr="002B672B" w:rsidRDefault="002146A9" w:rsidP="002146A9">
      <w:pPr>
        <w:autoSpaceDE w:val="0"/>
        <w:autoSpaceDN w:val="0"/>
        <w:adjustRightInd w:val="0"/>
        <w:spacing w:after="0" w:line="240" w:lineRule="auto"/>
        <w:rPr>
          <w:rFonts w:cstheme="minorHAnsi"/>
          <w:b/>
          <w:u w:val="single"/>
        </w:rPr>
      </w:pPr>
    </w:p>
    <w:p w14:paraId="7231E08B" w14:textId="77777777" w:rsidR="002146A9" w:rsidRPr="002B672B" w:rsidRDefault="002146A9" w:rsidP="002146A9">
      <w:pPr>
        <w:autoSpaceDE w:val="0"/>
        <w:autoSpaceDN w:val="0"/>
        <w:adjustRightInd w:val="0"/>
        <w:spacing w:after="0" w:line="240" w:lineRule="auto"/>
        <w:rPr>
          <w:rFonts w:cstheme="minorHAnsi"/>
          <w:b/>
          <w:u w:val="single"/>
        </w:rPr>
      </w:pPr>
    </w:p>
    <w:p w14:paraId="15C07C3B" w14:textId="77777777" w:rsidR="002146A9" w:rsidRPr="002B672B" w:rsidRDefault="002146A9" w:rsidP="002146A9">
      <w:pPr>
        <w:autoSpaceDE w:val="0"/>
        <w:autoSpaceDN w:val="0"/>
        <w:adjustRightInd w:val="0"/>
        <w:spacing w:after="0" w:line="240" w:lineRule="auto"/>
        <w:rPr>
          <w:rFonts w:cstheme="minorHAnsi"/>
          <w:b/>
          <w:u w:val="single"/>
        </w:rPr>
      </w:pPr>
    </w:p>
    <w:p w14:paraId="5962AC59" w14:textId="77777777" w:rsidR="002146A9" w:rsidRPr="002B672B" w:rsidRDefault="002146A9" w:rsidP="002146A9">
      <w:pPr>
        <w:autoSpaceDE w:val="0"/>
        <w:autoSpaceDN w:val="0"/>
        <w:adjustRightInd w:val="0"/>
        <w:spacing w:after="0" w:line="240" w:lineRule="auto"/>
        <w:rPr>
          <w:rFonts w:cstheme="minorHAnsi"/>
          <w:b/>
          <w:u w:val="single"/>
        </w:rPr>
      </w:pPr>
    </w:p>
    <w:p w14:paraId="34650C0D" w14:textId="77777777" w:rsidR="002146A9" w:rsidRPr="002B672B" w:rsidRDefault="002146A9" w:rsidP="002146A9">
      <w:pPr>
        <w:autoSpaceDE w:val="0"/>
        <w:autoSpaceDN w:val="0"/>
        <w:adjustRightInd w:val="0"/>
        <w:spacing w:after="0" w:line="240" w:lineRule="auto"/>
        <w:rPr>
          <w:rFonts w:cstheme="minorHAnsi"/>
          <w:b/>
          <w:u w:val="single"/>
        </w:rPr>
      </w:pPr>
    </w:p>
    <w:p w14:paraId="2964A80E" w14:textId="238C1DC6" w:rsidR="002146A9" w:rsidRPr="002B672B" w:rsidRDefault="002146A9" w:rsidP="002146A9">
      <w:pPr>
        <w:autoSpaceDE w:val="0"/>
        <w:autoSpaceDN w:val="0"/>
        <w:adjustRightInd w:val="0"/>
        <w:spacing w:after="0" w:line="240" w:lineRule="auto"/>
        <w:rPr>
          <w:rFonts w:cstheme="minorHAnsi"/>
          <w:b/>
          <w:u w:val="single"/>
        </w:rPr>
      </w:pPr>
      <w:r w:rsidRPr="002B672B">
        <w:rPr>
          <w:rFonts w:cstheme="minorHAnsi"/>
          <w:b/>
          <w:u w:val="single"/>
        </w:rPr>
        <w:t>Appendix 2</w:t>
      </w:r>
    </w:p>
    <w:p w14:paraId="515F009B" w14:textId="77777777" w:rsidR="002146A9" w:rsidRPr="002B672B" w:rsidRDefault="002146A9" w:rsidP="002146A9">
      <w:pPr>
        <w:autoSpaceDE w:val="0"/>
        <w:autoSpaceDN w:val="0"/>
        <w:adjustRightInd w:val="0"/>
        <w:spacing w:after="0" w:line="240" w:lineRule="auto"/>
        <w:rPr>
          <w:rFonts w:cstheme="minorHAnsi"/>
          <w:color w:val="000000"/>
        </w:rPr>
      </w:pPr>
    </w:p>
    <w:p w14:paraId="11D71103" w14:textId="4A98CA51" w:rsidR="002146A9" w:rsidRPr="002B672B" w:rsidRDefault="002146A9" w:rsidP="002146A9">
      <w:pPr>
        <w:autoSpaceDE w:val="0"/>
        <w:autoSpaceDN w:val="0"/>
        <w:adjustRightInd w:val="0"/>
        <w:rPr>
          <w:rStyle w:val="markedcontent"/>
          <w:rFonts w:cstheme="minorHAnsi"/>
        </w:rPr>
      </w:pPr>
      <w:r w:rsidRPr="002B672B">
        <w:rPr>
          <w:rStyle w:val="markedcontent"/>
          <w:rFonts w:cstheme="minorHAnsi"/>
        </w:rPr>
        <w:t xml:space="preserve">Clinical pathway and criteria for the use of </w:t>
      </w:r>
      <w:r w:rsidRPr="002B672B">
        <w:rPr>
          <w:rStyle w:val="markedcontent"/>
          <w:rFonts w:cstheme="minorHAnsi"/>
          <w:b/>
          <w:bCs/>
        </w:rPr>
        <w:t>remdesivir</w:t>
      </w:r>
      <w:r w:rsidRPr="002B672B">
        <w:rPr>
          <w:rStyle w:val="markedcontent"/>
          <w:rFonts w:cstheme="minorHAnsi"/>
        </w:rPr>
        <w:t xml:space="preserve"> in patients</w:t>
      </w:r>
      <w:r w:rsidRPr="002B672B">
        <w:rPr>
          <w:rFonts w:cstheme="minorHAnsi"/>
        </w:rPr>
        <w:t xml:space="preserve"> </w:t>
      </w:r>
      <w:r w:rsidRPr="002B672B">
        <w:rPr>
          <w:rStyle w:val="markedcontent"/>
          <w:rFonts w:cstheme="minorHAnsi"/>
        </w:rPr>
        <w:t>hospitalised with COVID-19</w:t>
      </w:r>
    </w:p>
    <w:p w14:paraId="629666D5" w14:textId="3EF3D850" w:rsidR="002146A9" w:rsidRPr="002B672B" w:rsidRDefault="002146A9" w:rsidP="002146A9">
      <w:pPr>
        <w:autoSpaceDE w:val="0"/>
        <w:autoSpaceDN w:val="0"/>
        <w:adjustRightInd w:val="0"/>
        <w:rPr>
          <w:rStyle w:val="markedcontent"/>
          <w:rFonts w:cstheme="minorHAnsi"/>
          <w:b/>
          <w:u w:val="single"/>
        </w:rPr>
      </w:pPr>
      <w:r w:rsidRPr="002B672B">
        <w:rPr>
          <w:rFonts w:cstheme="minorHAnsi"/>
          <w:noProof/>
          <w:lang w:eastAsia="en-GB"/>
        </w:rPr>
        <w:lastRenderedPageBreak/>
        <w:drawing>
          <wp:inline distT="0" distB="0" distL="0" distR="0" wp14:anchorId="2BBE5439" wp14:editId="7ADB3337">
            <wp:extent cx="5731510" cy="7517353"/>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662" t="389" r="1285" b="397"/>
                    <a:stretch/>
                  </pic:blipFill>
                  <pic:spPr bwMode="auto">
                    <a:xfrm>
                      <a:off x="0" y="0"/>
                      <a:ext cx="5731510" cy="7517353"/>
                    </a:xfrm>
                    <a:prstGeom prst="rect">
                      <a:avLst/>
                    </a:prstGeom>
                    <a:ln>
                      <a:noFill/>
                    </a:ln>
                    <a:extLst>
                      <a:ext uri="{53640926-AAD7-44D8-BBD7-CCE9431645EC}">
                        <a14:shadowObscured xmlns:a14="http://schemas.microsoft.com/office/drawing/2010/main"/>
                      </a:ext>
                    </a:extLst>
                  </pic:spPr>
                </pic:pic>
              </a:graphicData>
            </a:graphic>
          </wp:inline>
        </w:drawing>
      </w:r>
    </w:p>
    <w:p w14:paraId="30E0DE1F" w14:textId="305B5FEB" w:rsidR="004D74A2" w:rsidRPr="002B672B" w:rsidRDefault="004D74A2" w:rsidP="000C06DB">
      <w:pPr>
        <w:spacing w:after="0"/>
        <w:rPr>
          <w:rFonts w:cstheme="minorHAnsi"/>
          <w:b/>
        </w:rPr>
      </w:pPr>
    </w:p>
    <w:sectPr w:rsidR="004D74A2" w:rsidRPr="002B672B" w:rsidSect="003A5827">
      <w:footerReference w:type="default" r:id="rId26"/>
      <w:pgSz w:w="11906" w:h="16838"/>
      <w:pgMar w:top="1134" w:right="1440" w:bottom="567"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3BA64" w16cex:dateUtc="2022-05-09T15:05:00Z"/>
  <w16cex:commentExtensible w16cex:durableId="2623BCCA" w16cex:dateUtc="2022-05-09T15:16:00Z"/>
  <w16cex:commentExtensible w16cex:durableId="2623BF0D" w16cex:dateUtc="2022-05-09T15:25:00Z"/>
  <w16cex:commentExtensible w16cex:durableId="2623BF8A" w16cex:dateUtc="2022-05-09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0E4E3A" w16cid:durableId="2623BA64"/>
  <w16cid:commentId w16cid:paraId="210D4ED0" w16cid:durableId="2623BCCA"/>
  <w16cid:commentId w16cid:paraId="52E8448B" w16cid:durableId="2623BF0D"/>
  <w16cid:commentId w16cid:paraId="43739CF9" w16cid:durableId="2623BF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AA5D8" w14:textId="77777777" w:rsidR="00AD33A7" w:rsidRDefault="00AD33A7" w:rsidP="00FC396B">
      <w:pPr>
        <w:spacing w:after="0" w:line="240" w:lineRule="auto"/>
      </w:pPr>
      <w:r>
        <w:separator/>
      </w:r>
    </w:p>
  </w:endnote>
  <w:endnote w:type="continuationSeparator" w:id="0">
    <w:p w14:paraId="5E7309C0" w14:textId="77777777" w:rsidR="00AD33A7" w:rsidRDefault="00AD33A7" w:rsidP="00FC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70460"/>
      <w:docPartObj>
        <w:docPartGallery w:val="Page Numbers (Bottom of Page)"/>
        <w:docPartUnique/>
      </w:docPartObj>
    </w:sdtPr>
    <w:sdtEndPr>
      <w:rPr>
        <w:noProof/>
      </w:rPr>
    </w:sdtEndPr>
    <w:sdtContent>
      <w:p w14:paraId="5D58792E" w14:textId="1678E9C3" w:rsidR="00E3730A" w:rsidRDefault="00E3730A">
        <w:pPr>
          <w:pStyle w:val="Footer"/>
          <w:jc w:val="right"/>
        </w:pPr>
        <w:r>
          <w:fldChar w:fldCharType="begin"/>
        </w:r>
        <w:r>
          <w:instrText xml:space="preserve"> PAGE   \* MERGEFORMAT </w:instrText>
        </w:r>
        <w:r>
          <w:fldChar w:fldCharType="separate"/>
        </w:r>
        <w:r w:rsidR="006944AD">
          <w:rPr>
            <w:noProof/>
          </w:rPr>
          <w:t>4</w:t>
        </w:r>
        <w:r>
          <w:rPr>
            <w:noProof/>
          </w:rPr>
          <w:fldChar w:fldCharType="end"/>
        </w:r>
      </w:p>
    </w:sdtContent>
  </w:sdt>
  <w:p w14:paraId="287B782C" w14:textId="77777777" w:rsidR="00E3730A" w:rsidRDefault="00E3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445B" w14:textId="77777777" w:rsidR="00AD33A7" w:rsidRDefault="00AD33A7" w:rsidP="00FC396B">
      <w:pPr>
        <w:spacing w:after="0" w:line="240" w:lineRule="auto"/>
      </w:pPr>
      <w:r>
        <w:separator/>
      </w:r>
    </w:p>
  </w:footnote>
  <w:footnote w:type="continuationSeparator" w:id="0">
    <w:p w14:paraId="07108CBE" w14:textId="77777777" w:rsidR="00AD33A7" w:rsidRDefault="00AD33A7" w:rsidP="00FC396B">
      <w:pPr>
        <w:spacing w:after="0" w:line="240" w:lineRule="auto"/>
      </w:pPr>
      <w:r>
        <w:continuationSeparator/>
      </w:r>
    </w:p>
  </w:footnote>
  <w:footnote w:id="1">
    <w:p w14:paraId="7BEB48EF" w14:textId="5F52E4A6" w:rsidR="002146A9" w:rsidRPr="00A23C93" w:rsidRDefault="002146A9" w:rsidP="002146A9">
      <w:pPr>
        <w:spacing w:line="270" w:lineRule="exact"/>
        <w:rPr>
          <w:rFonts w:cstheme="minorHAnsi"/>
          <w:color w:val="FF0000"/>
        </w:rPr>
      </w:pPr>
      <w:r>
        <w:rPr>
          <w:rStyle w:val="FootnoteReference"/>
          <w:sz w:val="20"/>
          <w:szCs w:val="20"/>
        </w:rPr>
        <w:footnoteRef/>
      </w:r>
      <w:r w:rsidRPr="00A23C93">
        <w:rPr>
          <w:rFonts w:cstheme="minorHAnsi"/>
        </w:rPr>
        <w:t>Significant immunosuppression is defined as a significant impairment of humoral immune response (antibody production) and/or cellular immune competence.</w:t>
      </w:r>
      <w:r>
        <w:rPr>
          <w:rFonts w:cstheme="minorHAnsi"/>
        </w:rPr>
        <w:t xml:space="preserve"> See appendix 1 below for list of conditions qualifying for considering for immunosuppression.</w:t>
      </w:r>
    </w:p>
    <w:p w14:paraId="0C59FD73" w14:textId="77777777" w:rsidR="002146A9" w:rsidRDefault="002146A9" w:rsidP="002146A9">
      <w:pPr>
        <w:pStyle w:val="FootnoteText"/>
      </w:pPr>
    </w:p>
  </w:footnote>
  <w:footnote w:id="2">
    <w:p w14:paraId="33D840A8" w14:textId="4F13895B" w:rsidR="00F16CBB" w:rsidRDefault="00F16CBB">
      <w:pPr>
        <w:pStyle w:val="FootnoteText"/>
      </w:pPr>
      <w:r>
        <w:rPr>
          <w:rStyle w:val="FootnoteReference"/>
        </w:rPr>
        <w:footnoteRef/>
      </w:r>
      <w:r>
        <w:t xml:space="preserve"> Injectable Medicines Guide </w:t>
      </w:r>
      <w:r w:rsidR="002B672B">
        <w:t>‘Medusa’ Tocilizumab accessed 2/12/22</w:t>
      </w:r>
    </w:p>
  </w:footnote>
  <w:footnote w:id="3">
    <w:p w14:paraId="4971133F" w14:textId="245AD279" w:rsidR="00F16CBB" w:rsidRDefault="00F16CBB">
      <w:pPr>
        <w:pStyle w:val="FootnoteText"/>
      </w:pPr>
      <w:r>
        <w:rPr>
          <w:rStyle w:val="FootnoteReference"/>
        </w:rPr>
        <w:footnoteRef/>
      </w:r>
      <w:r>
        <w:t xml:space="preserve"> Injectable Medicines Guid</w:t>
      </w:r>
      <w:r w:rsidR="002B672B">
        <w:t>e ‘Medusa’ Sarilumab accessed 2/12/22</w:t>
      </w:r>
    </w:p>
  </w:footnote>
  <w:footnote w:id="4">
    <w:p w14:paraId="180717A9" w14:textId="15C31307" w:rsidR="002B672B" w:rsidRDefault="002B672B">
      <w:pPr>
        <w:pStyle w:val="FootnoteText"/>
      </w:pPr>
      <w:r>
        <w:rPr>
          <w:rStyle w:val="FootnoteReference"/>
        </w:rPr>
        <w:footnoteRef/>
      </w:r>
      <w:r>
        <w:t xml:space="preserve"> Injectable Medicines Guide ‘Medusa’ Tocilizumab accessed 2/12/22</w:t>
      </w:r>
    </w:p>
  </w:footnote>
  <w:footnote w:id="5">
    <w:p w14:paraId="626B4EDD" w14:textId="03B34923" w:rsidR="002B672B" w:rsidRDefault="002B672B">
      <w:pPr>
        <w:pStyle w:val="FootnoteText"/>
      </w:pPr>
      <w:r>
        <w:rPr>
          <w:rStyle w:val="FootnoteReference"/>
        </w:rPr>
        <w:footnoteRef/>
      </w:r>
      <w:r>
        <w:t xml:space="preserve"> Injectable Medicines Guide ‘Medusa’ Sarilumab accessed 2/12/22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CD6E06"/>
    <w:multiLevelType w:val="hybridMultilevel"/>
    <w:tmpl w:val="83819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2D161"/>
    <w:multiLevelType w:val="hybridMultilevel"/>
    <w:tmpl w:val="666A9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99E19B"/>
    <w:multiLevelType w:val="hybridMultilevel"/>
    <w:tmpl w:val="F48FC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6C298D"/>
    <w:multiLevelType w:val="hybridMultilevel"/>
    <w:tmpl w:val="F25BF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211771"/>
    <w:multiLevelType w:val="hybridMultilevel"/>
    <w:tmpl w:val="58B692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DE3AC5"/>
    <w:multiLevelType w:val="hybridMultilevel"/>
    <w:tmpl w:val="5FADE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CA6E74"/>
    <w:multiLevelType w:val="hybridMultilevel"/>
    <w:tmpl w:val="5CE6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A9430E"/>
    <w:multiLevelType w:val="hybridMultilevel"/>
    <w:tmpl w:val="495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8C2C91"/>
    <w:multiLevelType w:val="hybridMultilevel"/>
    <w:tmpl w:val="60807776"/>
    <w:lvl w:ilvl="0" w:tplc="EF90205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AD83B45"/>
    <w:multiLevelType w:val="hybridMultilevel"/>
    <w:tmpl w:val="1F5C72B2"/>
    <w:lvl w:ilvl="0" w:tplc="EF90205A">
      <w:start w:val="1"/>
      <w:numFmt w:val="decimal"/>
      <w:lvlText w:val="%1."/>
      <w:lvlJc w:val="left"/>
      <w:pPr>
        <w:ind w:left="40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2" w15:restartNumberingAfterBreak="0">
    <w:nsid w:val="0EC601BD"/>
    <w:multiLevelType w:val="hybridMultilevel"/>
    <w:tmpl w:val="E03E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9AAA9"/>
    <w:multiLevelType w:val="hybridMultilevel"/>
    <w:tmpl w:val="84C7CF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F91E14"/>
    <w:multiLevelType w:val="hybridMultilevel"/>
    <w:tmpl w:val="A064C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05717"/>
    <w:multiLevelType w:val="hybridMultilevel"/>
    <w:tmpl w:val="B0D46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851721"/>
    <w:multiLevelType w:val="hybridMultilevel"/>
    <w:tmpl w:val="EC02C3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871F6"/>
    <w:multiLevelType w:val="hybridMultilevel"/>
    <w:tmpl w:val="81260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31981B"/>
    <w:multiLevelType w:val="hybridMultilevel"/>
    <w:tmpl w:val="D579D7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C05B1C"/>
    <w:multiLevelType w:val="hybridMultilevel"/>
    <w:tmpl w:val="0EC2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E75AC"/>
    <w:multiLevelType w:val="hybridMultilevel"/>
    <w:tmpl w:val="245C25D4"/>
    <w:lvl w:ilvl="0" w:tplc="EF90205A">
      <w:start w:val="1"/>
      <w:numFmt w:val="decimal"/>
      <w:lvlText w:val="%1."/>
      <w:lvlJc w:val="left"/>
      <w:pPr>
        <w:ind w:left="40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1" w15:restartNumberingAfterBreak="0">
    <w:nsid w:val="2F7197C7"/>
    <w:multiLevelType w:val="hybridMultilevel"/>
    <w:tmpl w:val="7FACE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EE10EF"/>
    <w:multiLevelType w:val="hybridMultilevel"/>
    <w:tmpl w:val="DEDE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63EC5"/>
    <w:multiLevelType w:val="hybridMultilevel"/>
    <w:tmpl w:val="9120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55983"/>
    <w:multiLevelType w:val="hybridMultilevel"/>
    <w:tmpl w:val="9F3680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A2348"/>
    <w:multiLevelType w:val="hybridMultilevel"/>
    <w:tmpl w:val="6788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E68D0"/>
    <w:multiLevelType w:val="hybridMultilevel"/>
    <w:tmpl w:val="76CE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92245"/>
    <w:multiLevelType w:val="hybridMultilevel"/>
    <w:tmpl w:val="440CD0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C67CA"/>
    <w:multiLevelType w:val="hybridMultilevel"/>
    <w:tmpl w:val="4372C554"/>
    <w:lvl w:ilvl="0" w:tplc="D24E96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52790"/>
    <w:multiLevelType w:val="hybridMultilevel"/>
    <w:tmpl w:val="01D49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842FC"/>
    <w:multiLevelType w:val="hybridMultilevel"/>
    <w:tmpl w:val="4462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570B3"/>
    <w:multiLevelType w:val="hybridMultilevel"/>
    <w:tmpl w:val="BEA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B1AB8"/>
    <w:multiLevelType w:val="hybridMultilevel"/>
    <w:tmpl w:val="74C0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07D02"/>
    <w:multiLevelType w:val="hybridMultilevel"/>
    <w:tmpl w:val="0C00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079AC"/>
    <w:multiLevelType w:val="hybridMultilevel"/>
    <w:tmpl w:val="9E582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537E13"/>
    <w:multiLevelType w:val="hybridMultilevel"/>
    <w:tmpl w:val="E266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52F19"/>
    <w:multiLevelType w:val="multilevel"/>
    <w:tmpl w:val="1416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23"/>
  </w:num>
  <w:num w:numId="4">
    <w:abstractNumId w:val="30"/>
  </w:num>
  <w:num w:numId="5">
    <w:abstractNumId w:val="32"/>
  </w:num>
  <w:num w:numId="6">
    <w:abstractNumId w:val="14"/>
  </w:num>
  <w:num w:numId="7">
    <w:abstractNumId w:val="27"/>
  </w:num>
  <w:num w:numId="8">
    <w:abstractNumId w:val="19"/>
  </w:num>
  <w:num w:numId="9">
    <w:abstractNumId w:val="15"/>
  </w:num>
  <w:num w:numId="10">
    <w:abstractNumId w:val="7"/>
  </w:num>
  <w:num w:numId="11">
    <w:abstractNumId w:val="6"/>
  </w:num>
  <w:num w:numId="12">
    <w:abstractNumId w:val="28"/>
  </w:num>
  <w:num w:numId="13">
    <w:abstractNumId w:val="3"/>
  </w:num>
  <w:num w:numId="14">
    <w:abstractNumId w:val="2"/>
  </w:num>
  <w:num w:numId="15">
    <w:abstractNumId w:val="0"/>
  </w:num>
  <w:num w:numId="16">
    <w:abstractNumId w:val="21"/>
  </w:num>
  <w:num w:numId="17">
    <w:abstractNumId w:val="10"/>
  </w:num>
  <w:num w:numId="18">
    <w:abstractNumId w:val="11"/>
  </w:num>
  <w:num w:numId="19">
    <w:abstractNumId w:val="20"/>
  </w:num>
  <w:num w:numId="20">
    <w:abstractNumId w:val="34"/>
  </w:num>
  <w:num w:numId="21">
    <w:abstractNumId w:val="24"/>
  </w:num>
  <w:num w:numId="22">
    <w:abstractNumId w:val="16"/>
  </w:num>
  <w:num w:numId="23">
    <w:abstractNumId w:val="33"/>
  </w:num>
  <w:num w:numId="24">
    <w:abstractNumId w:val="13"/>
  </w:num>
  <w:num w:numId="25">
    <w:abstractNumId w:val="4"/>
  </w:num>
  <w:num w:numId="26">
    <w:abstractNumId w:val="8"/>
  </w:num>
  <w:num w:numId="27">
    <w:abstractNumId w:val="5"/>
  </w:num>
  <w:num w:numId="28">
    <w:abstractNumId w:val="9"/>
  </w:num>
  <w:num w:numId="29">
    <w:abstractNumId w:val="29"/>
  </w:num>
  <w:num w:numId="30">
    <w:abstractNumId w:val="25"/>
  </w:num>
  <w:num w:numId="31">
    <w:abstractNumId w:val="35"/>
  </w:num>
  <w:num w:numId="32">
    <w:abstractNumId w:val="18"/>
  </w:num>
  <w:num w:numId="33">
    <w:abstractNumId w:val="17"/>
  </w:num>
  <w:num w:numId="34">
    <w:abstractNumId w:val="26"/>
  </w:num>
  <w:num w:numId="35">
    <w:abstractNumId w:val="1"/>
  </w:num>
  <w:num w:numId="36">
    <w:abstractNumId w:val="3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CC"/>
    <w:rsid w:val="000C06DB"/>
    <w:rsid w:val="000F58C5"/>
    <w:rsid w:val="00111EC9"/>
    <w:rsid w:val="001250DF"/>
    <w:rsid w:val="00127245"/>
    <w:rsid w:val="00135284"/>
    <w:rsid w:val="001D1CCC"/>
    <w:rsid w:val="001F0060"/>
    <w:rsid w:val="001F429B"/>
    <w:rsid w:val="001F69E0"/>
    <w:rsid w:val="00202D04"/>
    <w:rsid w:val="002146A9"/>
    <w:rsid w:val="00245974"/>
    <w:rsid w:val="00257052"/>
    <w:rsid w:val="002A04FD"/>
    <w:rsid w:val="002B5962"/>
    <w:rsid w:val="002B672B"/>
    <w:rsid w:val="00350FA8"/>
    <w:rsid w:val="003755EC"/>
    <w:rsid w:val="00382339"/>
    <w:rsid w:val="003A5827"/>
    <w:rsid w:val="003E2FB5"/>
    <w:rsid w:val="003F28F7"/>
    <w:rsid w:val="00411C9B"/>
    <w:rsid w:val="004260D0"/>
    <w:rsid w:val="00442B08"/>
    <w:rsid w:val="00462CFB"/>
    <w:rsid w:val="00484B29"/>
    <w:rsid w:val="004A041F"/>
    <w:rsid w:val="004D74A2"/>
    <w:rsid w:val="004F1C85"/>
    <w:rsid w:val="005A3309"/>
    <w:rsid w:val="005A3356"/>
    <w:rsid w:val="005D45A8"/>
    <w:rsid w:val="005D7AF2"/>
    <w:rsid w:val="005F2C40"/>
    <w:rsid w:val="00606A81"/>
    <w:rsid w:val="006121F3"/>
    <w:rsid w:val="00621A16"/>
    <w:rsid w:val="00655C17"/>
    <w:rsid w:val="006944AD"/>
    <w:rsid w:val="006A1041"/>
    <w:rsid w:val="006B2A2A"/>
    <w:rsid w:val="006E64BA"/>
    <w:rsid w:val="00717EFB"/>
    <w:rsid w:val="00721D74"/>
    <w:rsid w:val="00762E59"/>
    <w:rsid w:val="00773D76"/>
    <w:rsid w:val="00777031"/>
    <w:rsid w:val="007838B4"/>
    <w:rsid w:val="00811365"/>
    <w:rsid w:val="00820EA6"/>
    <w:rsid w:val="008C2490"/>
    <w:rsid w:val="008D22DF"/>
    <w:rsid w:val="009054F7"/>
    <w:rsid w:val="00924B6F"/>
    <w:rsid w:val="009325D5"/>
    <w:rsid w:val="00936BA1"/>
    <w:rsid w:val="00936CE7"/>
    <w:rsid w:val="00946535"/>
    <w:rsid w:val="009950D2"/>
    <w:rsid w:val="009A4213"/>
    <w:rsid w:val="009E000C"/>
    <w:rsid w:val="009F3339"/>
    <w:rsid w:val="009F3636"/>
    <w:rsid w:val="00A11729"/>
    <w:rsid w:val="00A542DD"/>
    <w:rsid w:val="00A874F7"/>
    <w:rsid w:val="00AA0353"/>
    <w:rsid w:val="00AA2FEA"/>
    <w:rsid w:val="00AD33A7"/>
    <w:rsid w:val="00AE194B"/>
    <w:rsid w:val="00B05F66"/>
    <w:rsid w:val="00B27901"/>
    <w:rsid w:val="00B40917"/>
    <w:rsid w:val="00B93E1E"/>
    <w:rsid w:val="00BA2B6E"/>
    <w:rsid w:val="00BB2762"/>
    <w:rsid w:val="00BC2C91"/>
    <w:rsid w:val="00BF6DBE"/>
    <w:rsid w:val="00C25471"/>
    <w:rsid w:val="00C317C4"/>
    <w:rsid w:val="00C33997"/>
    <w:rsid w:val="00C44894"/>
    <w:rsid w:val="00C5691B"/>
    <w:rsid w:val="00C606A9"/>
    <w:rsid w:val="00C94F4B"/>
    <w:rsid w:val="00CD14C3"/>
    <w:rsid w:val="00CD1E72"/>
    <w:rsid w:val="00D10B5B"/>
    <w:rsid w:val="00D67427"/>
    <w:rsid w:val="00D86426"/>
    <w:rsid w:val="00DB30B5"/>
    <w:rsid w:val="00DD0F50"/>
    <w:rsid w:val="00DF02EF"/>
    <w:rsid w:val="00E17E34"/>
    <w:rsid w:val="00E21957"/>
    <w:rsid w:val="00E32EB7"/>
    <w:rsid w:val="00E3730A"/>
    <w:rsid w:val="00E76398"/>
    <w:rsid w:val="00E90000"/>
    <w:rsid w:val="00ED1EE7"/>
    <w:rsid w:val="00F02905"/>
    <w:rsid w:val="00F03158"/>
    <w:rsid w:val="00F06CD1"/>
    <w:rsid w:val="00F16CBB"/>
    <w:rsid w:val="00F35B1B"/>
    <w:rsid w:val="00F57BE2"/>
    <w:rsid w:val="00F90B7C"/>
    <w:rsid w:val="00F923B3"/>
    <w:rsid w:val="00F95FBD"/>
    <w:rsid w:val="00FA509B"/>
    <w:rsid w:val="00FB2661"/>
    <w:rsid w:val="00FC396B"/>
    <w:rsid w:val="00FF56CB"/>
    <w:rsid w:val="24CA5F08"/>
    <w:rsid w:val="5147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435"/>
  <w15:docId w15:val="{B5EC80AB-4D16-4171-BC7D-79A0AC4F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CC"/>
    <w:rPr>
      <w:rFonts w:ascii="Tahoma" w:hAnsi="Tahoma" w:cs="Tahoma"/>
      <w:sz w:val="16"/>
      <w:szCs w:val="16"/>
    </w:rPr>
  </w:style>
  <w:style w:type="character" w:customStyle="1" w:styleId="Heading1Char">
    <w:name w:val="Heading 1 Char"/>
    <w:basedOn w:val="DefaultParagraphFont"/>
    <w:link w:val="Heading1"/>
    <w:uiPriority w:val="9"/>
    <w:rsid w:val="00442B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7E34"/>
    <w:pPr>
      <w:ind w:left="720"/>
      <w:contextualSpacing/>
    </w:pPr>
  </w:style>
  <w:style w:type="character" w:styleId="Hyperlink">
    <w:name w:val="Hyperlink"/>
    <w:basedOn w:val="DefaultParagraphFont"/>
    <w:uiPriority w:val="99"/>
    <w:unhideWhenUsed/>
    <w:rsid w:val="00D86426"/>
    <w:rPr>
      <w:color w:val="0000FF" w:themeColor="hyperlink"/>
      <w:u w:val="single"/>
    </w:rPr>
  </w:style>
  <w:style w:type="character" w:styleId="CommentReference">
    <w:name w:val="annotation reference"/>
    <w:basedOn w:val="DefaultParagraphFont"/>
    <w:uiPriority w:val="99"/>
    <w:semiHidden/>
    <w:unhideWhenUsed/>
    <w:rsid w:val="00DB30B5"/>
    <w:rPr>
      <w:sz w:val="16"/>
      <w:szCs w:val="16"/>
    </w:rPr>
  </w:style>
  <w:style w:type="paragraph" w:styleId="CommentText">
    <w:name w:val="annotation text"/>
    <w:basedOn w:val="Normal"/>
    <w:link w:val="CommentTextChar"/>
    <w:uiPriority w:val="99"/>
    <w:semiHidden/>
    <w:unhideWhenUsed/>
    <w:rsid w:val="00DB30B5"/>
    <w:pPr>
      <w:spacing w:line="240" w:lineRule="auto"/>
    </w:pPr>
    <w:rPr>
      <w:sz w:val="20"/>
      <w:szCs w:val="20"/>
    </w:rPr>
  </w:style>
  <w:style w:type="character" w:customStyle="1" w:styleId="CommentTextChar">
    <w:name w:val="Comment Text Char"/>
    <w:basedOn w:val="DefaultParagraphFont"/>
    <w:link w:val="CommentText"/>
    <w:uiPriority w:val="99"/>
    <w:semiHidden/>
    <w:rsid w:val="00DB30B5"/>
    <w:rPr>
      <w:sz w:val="20"/>
      <w:szCs w:val="20"/>
    </w:rPr>
  </w:style>
  <w:style w:type="paragraph" w:styleId="CommentSubject">
    <w:name w:val="annotation subject"/>
    <w:basedOn w:val="CommentText"/>
    <w:next w:val="CommentText"/>
    <w:link w:val="CommentSubjectChar"/>
    <w:uiPriority w:val="99"/>
    <w:semiHidden/>
    <w:unhideWhenUsed/>
    <w:rsid w:val="00DB30B5"/>
    <w:rPr>
      <w:b/>
      <w:bCs/>
    </w:rPr>
  </w:style>
  <w:style w:type="character" w:customStyle="1" w:styleId="CommentSubjectChar">
    <w:name w:val="Comment Subject Char"/>
    <w:basedOn w:val="CommentTextChar"/>
    <w:link w:val="CommentSubject"/>
    <w:uiPriority w:val="99"/>
    <w:semiHidden/>
    <w:rsid w:val="00DB30B5"/>
    <w:rPr>
      <w:b/>
      <w:bCs/>
      <w:sz w:val="20"/>
      <w:szCs w:val="20"/>
    </w:rPr>
  </w:style>
  <w:style w:type="paragraph" w:styleId="Header">
    <w:name w:val="header"/>
    <w:basedOn w:val="Normal"/>
    <w:link w:val="HeaderChar"/>
    <w:uiPriority w:val="99"/>
    <w:unhideWhenUsed/>
    <w:rsid w:val="00FC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6B"/>
  </w:style>
  <w:style w:type="paragraph" w:styleId="Footer">
    <w:name w:val="footer"/>
    <w:basedOn w:val="Normal"/>
    <w:link w:val="FooterChar"/>
    <w:uiPriority w:val="99"/>
    <w:unhideWhenUsed/>
    <w:rsid w:val="00FC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6B"/>
  </w:style>
  <w:style w:type="table" w:styleId="LightList-Accent5">
    <w:name w:val="Light List Accent 5"/>
    <w:basedOn w:val="TableNormal"/>
    <w:uiPriority w:val="61"/>
    <w:rsid w:val="003755E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CD1E72"/>
    <w:rPr>
      <w:color w:val="800080" w:themeColor="followedHyperlink"/>
      <w:u w:val="single"/>
    </w:rPr>
  </w:style>
  <w:style w:type="paragraph" w:customStyle="1" w:styleId="Default">
    <w:name w:val="Default"/>
    <w:rsid w:val="00F16CB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F1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6CBB"/>
    <w:rPr>
      <w:sz w:val="20"/>
      <w:szCs w:val="20"/>
    </w:rPr>
  </w:style>
  <w:style w:type="character" w:styleId="EndnoteReference">
    <w:name w:val="endnote reference"/>
    <w:basedOn w:val="DefaultParagraphFont"/>
    <w:uiPriority w:val="99"/>
    <w:semiHidden/>
    <w:unhideWhenUsed/>
    <w:rsid w:val="00F16CBB"/>
    <w:rPr>
      <w:vertAlign w:val="superscript"/>
    </w:rPr>
  </w:style>
  <w:style w:type="paragraph" w:styleId="FootnoteText">
    <w:name w:val="footnote text"/>
    <w:basedOn w:val="Normal"/>
    <w:link w:val="FootnoteTextChar"/>
    <w:uiPriority w:val="99"/>
    <w:semiHidden/>
    <w:unhideWhenUsed/>
    <w:rsid w:val="00F16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CBB"/>
    <w:rPr>
      <w:sz w:val="20"/>
      <w:szCs w:val="20"/>
    </w:rPr>
  </w:style>
  <w:style w:type="character" w:styleId="FootnoteReference">
    <w:name w:val="footnote reference"/>
    <w:basedOn w:val="DefaultParagraphFont"/>
    <w:uiPriority w:val="99"/>
    <w:semiHidden/>
    <w:unhideWhenUsed/>
    <w:rsid w:val="00F16CBB"/>
    <w:rPr>
      <w:vertAlign w:val="superscript"/>
    </w:rPr>
  </w:style>
  <w:style w:type="character" w:customStyle="1" w:styleId="UnresolvedMention1">
    <w:name w:val="Unresolved Mention1"/>
    <w:basedOn w:val="DefaultParagraphFont"/>
    <w:uiPriority w:val="99"/>
    <w:semiHidden/>
    <w:unhideWhenUsed/>
    <w:rsid w:val="00F35B1B"/>
    <w:rPr>
      <w:color w:val="605E5C"/>
      <w:shd w:val="clear" w:color="auto" w:fill="E1DFDD"/>
    </w:rPr>
  </w:style>
  <w:style w:type="paragraph" w:styleId="NormalWeb">
    <w:name w:val="Normal (Web)"/>
    <w:basedOn w:val="Normal"/>
    <w:uiPriority w:val="99"/>
    <w:semiHidden/>
    <w:unhideWhenUsed/>
    <w:rsid w:val="00773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2146A9"/>
  </w:style>
  <w:style w:type="table" w:styleId="TableGrid">
    <w:name w:val="Table Grid"/>
    <w:basedOn w:val="TableNormal"/>
    <w:uiPriority w:val="59"/>
    <w:rsid w:val="0021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63488">
      <w:bodyDiv w:val="1"/>
      <w:marLeft w:val="0"/>
      <w:marRight w:val="0"/>
      <w:marTop w:val="0"/>
      <w:marBottom w:val="0"/>
      <w:divBdr>
        <w:top w:val="none" w:sz="0" w:space="0" w:color="auto"/>
        <w:left w:val="none" w:sz="0" w:space="0" w:color="auto"/>
        <w:bottom w:val="none" w:sz="0" w:space="0" w:color="auto"/>
        <w:right w:val="none" w:sz="0" w:space="0" w:color="auto"/>
      </w:divBdr>
    </w:div>
    <w:div w:id="17468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ewer.microguide.global/BSUH/COVIDBSUH" TargetMode="External"/><Relationship Id="rId18" Type="http://schemas.openxmlformats.org/officeDocument/2006/relationships/hyperlink" Target="https://www.sps.nhs.uk/wp-content/uploads/2021/03/COVID-19-Patient-Discharge-Information-Leaflet-Tocilizumab-Sarilumab.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dicines.org.uk/emc/product/11597" TargetMode="External"/><Relationship Id="rId7" Type="http://schemas.openxmlformats.org/officeDocument/2006/relationships/endnotes" Target="endnotes.xml"/><Relationship Id="rId12" Type="http://schemas.openxmlformats.org/officeDocument/2006/relationships/hyperlink" Target="https://www.who.int/publications/i/item/WHO-2019-nCoV-therapeutics-2022.5" TargetMode="External"/><Relationship Id="rId17" Type="http://schemas.openxmlformats.org/officeDocument/2006/relationships/hyperlink" Target="mailto:uhsussex.research@nhs.net" TargetMode="External"/><Relationship Id="rId25" Type="http://schemas.openxmlformats.org/officeDocument/2006/relationships/image" Target="media/image2.png"/><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uhsussex.COVIDdrugforms@nhs.net" TargetMode="External"/><Relationship Id="rId20" Type="http://schemas.openxmlformats.org/officeDocument/2006/relationships/hyperlink" Target="https://www.rcog.org.uk/guidance/coronavirus-covid-19-pregnancy-and-women-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mhra.gov.uk/ViewandAcknowledgment/ViewAlert.aspx?AlertID=103221" TargetMode="External"/><Relationship Id="rId24" Type="http://schemas.openxmlformats.org/officeDocument/2006/relationships/hyperlink" Target="https://www.england.nhs.uk/coronavirus/wp-content/uploads/sites/52/2021/09/C1399-Updated-JCVI-guidance-for-vaccinating-immunosuppressed-individuals-with-third-primary-dose.pdf"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nww.westernsussexhospitals.nhs.uk/departments/pharmacy/covid-19-treatment/" TargetMode="External"/><Relationship Id="rId23" Type="http://schemas.openxmlformats.org/officeDocument/2006/relationships/hyperlink" Target="https://coronavirus-yellowcard.mhra.gov.uk/" TargetMode="External"/><Relationship Id="rId28" Type="http://schemas.openxmlformats.org/officeDocument/2006/relationships/theme" Target="theme/theme1.xml"/><Relationship Id="rId10" Type="http://schemas.openxmlformats.org/officeDocument/2006/relationships/hyperlink" Target="https://www.cas.mhra.gov.uk/ViewandAcknowledgment/ViewAlert.aspx?AlertID=103220" TargetMode="External"/><Relationship Id="rId19" Type="http://schemas.openxmlformats.org/officeDocument/2006/relationships/hyperlink" Target="https://www.covid19-druginteractions.org/" TargetMode="External"/><Relationship Id="rId4" Type="http://schemas.openxmlformats.org/officeDocument/2006/relationships/settings" Target="settings.xml"/><Relationship Id="rId9" Type="http://schemas.openxmlformats.org/officeDocument/2006/relationships/hyperlink" Target="https://www.cas.mhra.gov.uk/ViewandAcknowledgment/ViewAlert.aspx?AlertID=103222" TargetMode="External"/><Relationship Id="rId14" Type="http://schemas.openxmlformats.org/officeDocument/2006/relationships/hyperlink" Target="https://isaric4c.net/risk/" TargetMode="External"/><Relationship Id="rId22" Type="http://schemas.openxmlformats.org/officeDocument/2006/relationships/hyperlink" Target="https://www.rcog.org.uk/guidance/coronavirus-covid-19-pregnancy-and-women-s-healt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CA09-5502-4902-BC17-C382499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Sargent, Catherine</dc:creator>
  <cp:lastModifiedBy>Hendrick, Aoife</cp:lastModifiedBy>
  <cp:revision>3</cp:revision>
  <dcterms:created xsi:type="dcterms:W3CDTF">2022-12-23T11:06:00Z</dcterms:created>
  <dcterms:modified xsi:type="dcterms:W3CDTF">2022-12-23T11:07:00Z</dcterms:modified>
</cp:coreProperties>
</file>